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 19 维字段如下。这里的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14 个时域特征 + 5 个频域特征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是项目主线自己用 NumPy/FFT 实现的默认特征集合，不是调用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自动生成特征。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在仓库中只作为可选扩展依赖，不作为本轮论文复现的主输入来源。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序号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计算含义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观察信号整体偏移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variance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描述波动强度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standard_deviation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std(x)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方差的同量纲表达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sqrt(mean(x^2))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表征振动有效强度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捕捉最大冲击幅值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peak_to_peak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max(x)-min(x)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描述全幅值范围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作为形状类特征分母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shape_factor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反映波形形状变化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crest_factor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反映尖峰相对有效值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impulse_factor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反映瞬时冲击程度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peak/(mean(sqrt(abs(x)))^2)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对局部冲击更敏感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clearance_factor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当前实现与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相同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保留论文特征名兼容性，不单独宣称物理差异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kurtosis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四阶中心矩 / 方差平方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识别后期尖峰和冲击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skewness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标准化三阶矩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观察分布不对称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dominant_frequency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 DC 最大 FFT 幅值对应频率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识别主要振动频率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spectrum_energy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sum(abs(rfft(x))^2)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衡量频谱总能量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spectral_centroid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sum(f*power)/sum(power)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描述频谱能量重心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spectral_rms_frequency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sqrt(sum(f^2*power)/sum(power))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描述频率均方根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spectral_entropy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-sum(p*log2(p))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描述频谱分散程度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综合健康指标并不是把 19 维简单求平均。当前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build_health_indicator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只选用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rms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kurtosis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crest_factor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spectrum_energy</w:t>
      </w:r>
      <w:r>
        <w:rPr>
          <w:rFonts w:ascii="宋体" w:hAnsi="宋体" w:eastAsia="宋体"/>
          <w:color w:val="000000"/>
        </w:rPr>
        <w:t xml:space="preserve">，先做标准化再求均值并归一化，目的是把强度、冲击和频谱能量压缩成一条便于观察的趋势曲线。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prediction_count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看，50 epoch relative RUL 正式训练中 attention 版本在 XJTU-SY 和 PHM2012 上均低于 baseline。Huang Score 是惩罚型分数，同一口径下越小越好；论文 reported Score 另有方向口径，因此正式对照优先看 normalized RMSE 和 RMSE 降幅。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该表来自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的摘要版本。第一篇复现的测试预测数由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记录，训练过程由每个模型目录下的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记录；答辩时应同时说明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有预测样本、有 epoch 历史、有对比表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，而不是只展示最终 RMSE。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50 epoch、每轴承 96 快照、relative RUL 训练。下表采用追加快照时间位置特征后的 xLSTM-Transformer 实验输出，用于展示当前最接近论文 RMSE/R2 的本地结果：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66.839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397.745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66.774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177.519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507.973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88.101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Condition 2 的负 R2 表示当前抽样设置和模型实现下，该工况拟合弱于均值基线。这不是要回避的缺点，而是复现边界的一部分。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Score 数值较大，说明少数相对误差触发了指数惩罚。它暴露的是当前 96 快照抽样和单次训练仍然不足，而不是 Score 实现错误。完整 18 行 baseline 对比保存在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50 epoch 抽样结果代表作者源码级最终性能；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2026-06-16T12:54:06Z</dcterms:created>
  <dcterms:modified xsi:type="dcterms:W3CDTF">2026-06-16T12:54:06Z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