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工业轴承设备剩余寿命预测系统的实现单元测试计划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工业轴承设备剩余寿命预测系统的实现：单元测试计划文档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单元测试计划文档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SE-PHM-MID-07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单元划分、用例设计、通过准则和回归策略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测试目的"/>
    <w:p>
      <w:pPr>
        <w:pStyle w:val="Heading2"/>
      </w:pPr>
      <w:r>
        <w:rPr>
          <w:rFonts w:ascii="宋体" w:hAnsi="宋体" w:eastAsia="宋体"/>
          <w:color w:val="000000"/>
        </w:rPr>
        <w:t xml:space="preserve">1. 测试目的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单元测试的目标是验证系统中各个独立模块的行为是否符合预期，尽早发现接口错误、边界条件处理错误和回归问题。对于本项目，单元测试尤其关注数据处理正确性和训练主链路关键组件的稳定性。</w:t>
      </w:r>
    </w:p>
    <w:bookmarkEnd w:id="22"/>
    <w:bookmarkStart w:id="23" w:name="测试范围"/>
    <w:p>
      <w:pPr>
        <w:pStyle w:val="Heading2"/>
      </w:pPr>
      <w:r>
        <w:rPr>
          <w:rFonts w:ascii="宋体" w:hAnsi="宋体" w:eastAsia="宋体"/>
          <w:color w:val="000000"/>
        </w:rPr>
        <w:t xml:space="preserve">2. 测试范围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单元测试覆盖以下对象：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数据加载器与实体抽象。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预处理组件和特征提取组件。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标签构造器和阶段划分策略。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训练器、回调和预测器。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评估器和可视化导出函数。</w:t>
      </w:r>
    </w:p>
    <w:bookmarkEnd w:id="23"/>
    <w:bookmarkStart w:id="24" w:name="单元划分"/>
    <w:p>
      <w:pPr>
        <w:pStyle w:val="Heading2"/>
      </w:pPr>
      <w:r>
        <w:rPr>
          <w:rFonts w:ascii="宋体" w:hAnsi="宋体" w:eastAsia="宋体"/>
          <w:color w:val="000000"/>
        </w:rPr>
        <w:t xml:space="preserve">3. 单元划分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单元类别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代表对象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主要关注点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loader、entity、serializer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目录解析、格式兼容、导入导出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预处理单元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signal processor、pipeline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滑动窗口、归一化、输出形状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标签单元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labeler、stage labeler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标签值正确性、边界样本处理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trainer、callbacks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生命周期调用、日志记录、早停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预测单元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predictor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直接预测、滚动预测、不确定性输出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展示单元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visualizer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图表文件生成、字段匹配</w:t>
            </w:r>
          </w:p>
        </w:tc>
      </w:tr>
    </w:tbl>
    <w:bookmarkEnd w:id="24"/>
    <w:bookmarkStart w:id="25" w:name="测试环境"/>
    <w:p>
      <w:pPr>
        <w:pStyle w:val="Heading2"/>
      </w:pPr>
      <w:r>
        <w:rPr>
          <w:rFonts w:ascii="宋体" w:hAnsi="宋体" w:eastAsia="宋体"/>
          <w:color w:val="000000"/>
        </w:rPr>
        <w:t xml:space="preserve">4. 测试环境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要求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Python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3.11+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环境管理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测试框架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pytest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数据来源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合成数据为主，真实数据 smoke test 为辅</w:t>
            </w:r>
          </w:p>
        </w:tc>
      </w:tr>
    </w:tbl>
    <w:bookmarkEnd w:id="25"/>
    <w:bookmarkStart w:id="26" w:name="测试方法"/>
    <w:p>
      <w:pPr>
        <w:pStyle w:val="Heading2"/>
      </w:pPr>
      <w:r>
        <w:rPr>
          <w:rFonts w:ascii="宋体" w:hAnsi="宋体" w:eastAsia="宋体"/>
          <w:color w:val="000000"/>
        </w:rPr>
        <w:t xml:space="preserve">5. 测试方法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以白盒测试为主，针对模块输入输出和边界条件设计用例。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优先使用合成数据，保证测试运行稳定和速度可控。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对真实官方数据集仅做小规模烟雾测试，验证解析兼容性。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对导出类功能采用文件存在性和内容结构检查。</w:t>
      </w:r>
    </w:p>
    <w:bookmarkEnd w:id="26"/>
    <w:bookmarkStart w:id="27" w:name="测试用例设计原则"/>
    <w:p>
      <w:pPr>
        <w:pStyle w:val="Heading2"/>
      </w:pPr>
      <w:r>
        <w:rPr>
          <w:rFonts w:ascii="宋体" w:hAnsi="宋体" w:eastAsia="宋体"/>
          <w:color w:val="000000"/>
        </w:rPr>
        <w:t xml:space="preserve">6. 测试用例设计原则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每个单元至少覆盖一个正常路径和一个边界路径。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对含有状态变化的组件，至少验证初始化、执行和结束三个阶段。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对文件导出和目录解析单元，优先验证路径和格式兼容性。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对训练相关组件，优先验证回调触发和结果产物，而不是追求数值最优。</w:t>
      </w:r>
    </w:p>
    <w:bookmarkEnd w:id="27"/>
    <w:bookmarkStart w:id="31" w:name="重点测试模块"/>
    <w:p>
      <w:pPr>
        <w:pStyle w:val="Heading2"/>
      </w:pPr>
      <w:r>
        <w:rPr>
          <w:rFonts w:ascii="宋体" w:hAnsi="宋体" w:eastAsia="宋体"/>
          <w:color w:val="000000"/>
        </w:rPr>
        <w:t xml:space="preserve">7. 重点测试模块</w:t>
      </w:r>
    </w:p>
    <w:bookmarkStart w:id="28" w:name="数据处理模块"/>
    <w:p>
      <w:pPr>
        <w:pStyle w:val="Heading3"/>
      </w:pPr>
      <w:r>
        <w:rPr>
          <w:rFonts w:ascii="宋体" w:hAnsi="宋体" w:eastAsia="宋体"/>
          <w:color w:val="000000"/>
        </w:rPr>
        <w:t xml:space="preserve">7.1 数据处理模块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这是单元测试重点。原因在于真实数据目录结构复杂，且后续所有训练任务都依赖数据单元的正确性。</w:t>
      </w:r>
    </w:p>
    <w:bookmarkEnd w:id="28"/>
    <w:bookmarkStart w:id="29" w:name="训练回调模块"/>
    <w:p>
      <w:pPr>
        <w:pStyle w:val="Heading3"/>
      </w:pPr>
      <w:r>
        <w:rPr>
          <w:rFonts w:ascii="宋体" w:hAnsi="宋体" w:eastAsia="宋体"/>
          <w:color w:val="000000"/>
        </w:rPr>
        <w:t xml:space="preserve">7.2 训练回调模块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回调机制承担实验记录、EarlyStopping、TensorBoard 和梯度报警等关键功能，若此处有问题，虽然模型能训练，但实验管理会失效。</w:t>
      </w:r>
    </w:p>
    <w:bookmarkEnd w:id="29"/>
    <w:bookmarkStart w:id="30" w:name="预测策略模块"/>
    <w:p>
      <w:pPr>
        <w:pStyle w:val="Heading3"/>
      </w:pPr>
      <w:r>
        <w:rPr>
          <w:rFonts w:ascii="宋体" w:hAnsi="宋体" w:eastAsia="宋体"/>
          <w:color w:val="000000"/>
        </w:rPr>
        <w:t xml:space="preserve">7.3 预测策略模块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滚动预测和不确定性估计容易出现维度或状态管理问题，因此需要重点测试。</w:t>
      </w:r>
    </w:p>
    <w:bookmarkEnd w:id="30"/>
    <w:bookmarkEnd w:id="31"/>
    <w:bookmarkStart w:id="32" w:name="数据处理模块单元测试计划"/>
    <w:p>
      <w:pPr>
        <w:pStyle w:val="Heading2"/>
      </w:pPr>
      <w:r>
        <w:rPr>
          <w:rFonts w:ascii="宋体" w:hAnsi="宋体" w:eastAsia="宋体"/>
          <w:color w:val="000000"/>
        </w:rPr>
        <w:t xml:space="preserve">8. 数据处理模块单元测试计划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用例编号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测试目标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预期结果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UT-DATA-01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XJTU-SY 目录解析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能识别实体目录并加载样本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UT-DATA-02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PHM2012 温度通道保留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加载后包含温度通道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UT-DATA-03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CSV / PKL 导出与导入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导出文件存在且可重新读取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UT-DATA-04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带表头 CSV 数值化处理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非数值行被过滤，数值列成功解析</w:t>
            </w:r>
          </w:p>
        </w:tc>
      </w:tr>
    </w:tbl>
    <w:bookmarkEnd w:id="32"/>
    <w:bookmarkStart w:id="34" w:name="训练与预测模块单元测试计划"/>
    <w:p>
      <w:pPr>
        <w:pStyle w:val="Heading2"/>
      </w:pPr>
      <w:r>
        <w:rPr>
          <w:rFonts w:ascii="宋体" w:hAnsi="宋体" w:eastAsia="宋体"/>
          <w:color w:val="000000"/>
        </w:rPr>
        <w:t xml:space="preserve">9. 训练与预测模块单元测试计划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用例编号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测试目标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预期结果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UT-TRAIN-01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BaseTrainer 训练流程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history 正常生成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UT-TRAIN-02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EarlyStopping 回调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满足条件时提前停止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UT-TRAIN-03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TensorBoard 回调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生成事件文件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UT-TRAIN-04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GradientAlert 回调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梯度异常时输出告警记录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UT-PRED-01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RollingPredictor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返回正确长度的滚动预测结果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UT-PRED-02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MonteCarloDropoutPredictor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返回均值和方差信息</w:t>
            </w:r>
          </w:p>
        </w:tc>
      </w:tr>
    </w:tbl>
    <w:bookmarkStart w:id="33" w:name="指标与论文-workflow-单元测试补充"/>
    <w:p>
      <w:pPr>
        <w:pStyle w:val="Heading3"/>
      </w:pPr>
      <w:r>
        <w:rPr>
          <w:rFonts w:ascii="宋体" w:hAnsi="宋体" w:eastAsia="宋体"/>
          <w:color w:val="000000"/>
        </w:rPr>
        <w:t xml:space="preserve">9.1 指标与论文 workflow 单元测试补充</w:t>
      </w:r>
    </w:p>
    <w:tbl>
      <w:tblPr>
        <w:tblStyle w:val="Table"/>
        <w:tblW w:type="pct" w:w="500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单元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测试重点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典型断言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RUL 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RMSE、NormalizedRMSE、SMAPE、R2、Huang Score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完美预测误差为 0，R2 为 1，range 为 0 时不产生 NaN/inf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方向性指标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OverPredictionRate、UnderPredictionRate、WithinToleranceRate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预测大于真实值时计入 over，阈值内样本计入 within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CNN-LSTM-AM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 forward、attention 权重、workflow 输出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输出维度正确，comparison_metrics.csv 含论文 score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xLSTM-Transformer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模型结构、baseline 对比、划分 helper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两个数据集均输出模型名称、样本数和关键指标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notebook smoke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examples 下所有 notebook 代码单元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 epoch 条件下可执行，不依赖提交大型真实输出</w:t>
            </w:r>
          </w:p>
        </w:tc>
      </w:tr>
    </w:tbl>
    <w:bookmarkEnd w:id="33"/>
    <w:bookmarkEnd w:id="34"/>
    <w:bookmarkStart w:id="35" w:name="预期结果与通过标准"/>
    <w:p>
      <w:pPr>
        <w:pStyle w:val="Heading2"/>
      </w:pPr>
      <w:r>
        <w:rPr>
          <w:rFonts w:ascii="宋体" w:hAnsi="宋体" w:eastAsia="宋体"/>
          <w:color w:val="000000"/>
        </w:rPr>
        <w:t xml:space="preserve">10. 预期结果与通过标准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单元测试通过率应达到 100%，关键单元不得存在未修复失败项。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失败用例必须形成缺陷记录并在回归后关闭。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修改数据接口、训练回调或预测逻辑后，应重新执行对应单元测试。</w:t>
      </w:r>
    </w:p>
    <w:bookmarkEnd w:id="35"/>
    <w:bookmarkStart w:id="38" w:name="缺陷记录与回归策略"/>
    <w:p>
      <w:pPr>
        <w:pStyle w:val="Heading2"/>
      </w:pPr>
      <w:r>
        <w:rPr>
          <w:rFonts w:ascii="宋体" w:hAnsi="宋体" w:eastAsia="宋体"/>
          <w:color w:val="000000"/>
        </w:rPr>
        <w:t xml:space="preserve">11. 缺陷记录与回归策略</w:t>
      </w:r>
    </w:p>
    <w:bookmarkStart w:id="36" w:name="缺陷记录"/>
    <w:p>
      <w:pPr>
        <w:pStyle w:val="Heading3"/>
      </w:pPr>
      <w:r>
        <w:rPr>
          <w:rFonts w:ascii="宋体" w:hAnsi="宋体" w:eastAsia="宋体"/>
          <w:color w:val="000000"/>
        </w:rPr>
        <w:t xml:space="preserve">11.1 缺陷记录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缺陷应记录以下内容：出现环境、触发条件、现象、定位结论、修复提交和回归结果。</w:t>
      </w:r>
    </w:p>
    <w:bookmarkEnd w:id="36"/>
    <w:bookmarkStart w:id="37" w:name="回归策略"/>
    <w:p>
      <w:pPr>
        <w:pStyle w:val="Heading3"/>
      </w:pPr>
      <w:r>
        <w:rPr>
          <w:rFonts w:ascii="宋体" w:hAnsi="宋体" w:eastAsia="宋体"/>
          <w:color w:val="000000"/>
        </w:rPr>
        <w:t xml:space="preserve">11.2 回归策略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修改数据加载器后，回归所有数据单元测试。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修改训练主链路后，回归训练与预测单元测试。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修改图表导出逻辑后，回归展示相关测试。</w:t>
      </w:r>
    </w:p>
    <w:bookmarkEnd w:id="37"/>
    <w:bookmarkEnd w:id="38"/>
    <w:bookmarkStart w:id="39" w:name="结论"/>
    <w:p>
      <w:pPr>
        <w:pStyle w:val="Heading2"/>
      </w:pPr>
      <w:r>
        <w:rPr>
          <w:rFonts w:ascii="宋体" w:hAnsi="宋体" w:eastAsia="宋体"/>
          <w:color w:val="000000"/>
        </w:rPr>
        <w:t xml:space="preserve">12. 结论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单元测试计划强调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快速发现局部错误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，是保障后续集成测试和确认测试顺利进行的基础。对本项目而言，单元测试尤其是保证数据链路和训练回调稳定性的关键手段。</w:t>
      </w:r>
    </w:p>
    <w:bookmarkEnd w:id="39"/>
    <w:bookmarkEnd w:id="40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07_单元测试计划文档</dc:title>
  <dc:creator>zyj、cyy、zdh、zy</dc:creator>
  <cp:keywords>RUL, 预测性维护, 工业轴承, 软件工程</cp:keywords>
  <dcterms:created xsi:type="dcterms:W3CDTF">2026-06-16T12:52:35Z</dcterms:created>
  <dcterms:modified xsi:type="dcterms:W3CDTF">2026-06-16T12:52:35Z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