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sdt>
      <w:sdtPr>
        <w:docPartObj>
          <w:docPartGallery w:val="目录"/>
          <w:docPartUnique/>
        </w:docPartObj>
      </w:sdtPr>
      <w:sdtContent>
        <w:p>
          <w:pPr>
            <w:pStyle w:val="TOCHeading"/>
          </w:pPr>
          <w:r>
            <w:t xml:space="preserve">目录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bookmarkStart w:id="36" w:name="工业轴承设备剩余寿命预测系统的实现uml-设计文档"/>
    <w:p>
      <w:pPr>
        <w:pStyle w:val="Heading1"/>
        <w:jc w:val="center"/>
      </w:pPr>
      <w:r>
        <w:rPr>
          <w:rFonts w:ascii="宋体" w:hAnsi="宋体" w:eastAsia="宋体"/>
          <w:b/>
          <w:color w:val="000000"/>
          <w:sz w:val="48"/>
        </w:rPr>
        <w:t xml:space="preserve">工业轴承设备剩余寿命预测系统的实现：UML 设计文档</w:t>
      </w:r>
    </w:p>
    <w:bookmarkStart w:id="20" w:name="文档信息"/>
    <w:p>
      <w:pPr>
        <w:pStyle w:val="Heading2"/>
      </w:pPr>
      <w:r>
        <w:rPr>
          <w:rFonts w:ascii="宋体" w:hAnsi="宋体" w:eastAsia="宋体"/>
          <w:color w:val="000000"/>
        </w:rPr>
        <w:t xml:space="preserve">文档信息</w:t>
      </w:r>
    </w:p>
    <w:tbl>
      <w:tblPr>
        <w:tblStyle w:val="Table"/>
        <w:tblW w:type="pct" w:w="0.0"/>
        <w:tblLook w:firstRow="1" w:lastRow="0" w:firstColumn="0" w:lastColumn="0" w:noHBand="0" w:noVBand="0" w:val="002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/>
      <w:tr>
        <w:tc>
          <w:tcPr>
            <w:shd w:fill="FFFFFF"/>
          </w:tcPr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b/>
                <w:color w:val="000000"/>
                <w:sz w:val="21"/>
              </w:rPr>
              <w:t xml:space="preserve">项目</w:t>
            </w:r>
          </w:p>
        </w:tc>
        <w:tc>
          <w:tcPr>
            <w:shd w:fill="FFFFFF"/>
          </w:tcPr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b/>
                <w:color w:val="000000"/>
                <w:sz w:val="21"/>
              </w:rPr>
              <w:t xml:space="preserve">内容</w:t>
            </w:r>
          </w:p>
        </w:tc>
      </w:tr>
      <w:tr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文档名称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UML 设计文档</w:t>
            </w:r>
          </w:p>
        </w:tc>
      </w:tr>
      <w:tr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文档编号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SE-PHM-MID-12</w:t>
            </w:r>
          </w:p>
        </w:tc>
      </w:tr>
      <w:tr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文档阶段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中期</w:t>
            </w:r>
          </w:p>
        </w:tc>
      </w:tr>
      <w:tr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项目名称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工业轴承设备剩余寿命预测系统的实现</w:t>
            </w:r>
          </w:p>
        </w:tc>
      </w:tr>
      <w:tr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课程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中国科学技术大学软件学院《软件工程》</w:t>
            </w:r>
          </w:p>
        </w:tc>
      </w:tr>
      <w:tr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指导老师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zjf</w:t>
            </w:r>
          </w:p>
        </w:tc>
      </w:tr>
      <w:tr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小组成员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zyj、cyy、zdh、zy</w:t>
            </w:r>
          </w:p>
        </w:tc>
      </w:tr>
      <w:tr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文档负责人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zyj</w:t>
            </w:r>
          </w:p>
        </w:tc>
      </w:tr>
      <w:tr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参与编写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cyy、zdh、zy</w:t>
            </w:r>
          </w:p>
        </w:tc>
      </w:tr>
      <w:tr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版本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V3.0</w:t>
            </w:r>
          </w:p>
        </w:tc>
      </w:tr>
      <w:tr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修订日期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2026-06-14</w:t>
            </w:r>
          </w:p>
        </w:tc>
      </w:tr>
      <w:tr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归档形式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Markdown 源文件、PDF、DOCX</w:t>
            </w:r>
          </w:p>
        </w:tc>
      </w:tr>
      <w:tr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内容基线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用例图、类图、顺序图、组件关系和部署视图</w:t>
            </w:r>
          </w:p>
        </w:tc>
      </w:tr>
    </w:tbl>
    <w:bookmarkEnd w:id="20"/>
    <w:bookmarkStart w:id="21" w:name="修订记录"/>
    <w:p>
      <w:pPr>
        <w:pStyle w:val="Heading2"/>
      </w:pPr>
      <w:r>
        <w:rPr>
          <w:rFonts w:ascii="宋体" w:hAnsi="宋体" w:eastAsia="宋体"/>
          <w:color w:val="000000"/>
        </w:rPr>
        <w:t xml:space="preserve">修订记录</w:t>
      </w:r>
    </w:p>
    <w:tbl>
      <w:tblPr>
        <w:tblStyle w:val="Table"/>
        <w:tblW w:type="pct" w:w="0.0"/>
        <w:tblLook w:firstRow="1" w:lastRow="0" w:firstColumn="0" w:lastColumn="0" w:noHBand="0" w:noVBand="0" w:val="002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/>
      <w:tr>
        <w:tc>
          <w:tcPr>
            <w:shd w:fill="FFFFFF"/>
          </w:tcPr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b/>
                <w:color w:val="000000"/>
                <w:sz w:val="21"/>
              </w:rPr>
              <w:t xml:space="preserve">版本</w:t>
            </w:r>
          </w:p>
        </w:tc>
        <w:tc>
          <w:tcPr>
            <w:shd w:fill="FFFFFF"/>
          </w:tcPr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b/>
                <w:color w:val="000000"/>
                <w:sz w:val="21"/>
              </w:rPr>
              <w:t xml:space="preserve">日期</w:t>
            </w:r>
          </w:p>
        </w:tc>
        <w:tc>
          <w:tcPr>
            <w:shd w:fill="FFFFFF"/>
          </w:tcPr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b/>
                <w:color w:val="000000"/>
                <w:sz w:val="21"/>
              </w:rPr>
              <w:t xml:space="preserve">编写人</w:t>
            </w:r>
          </w:p>
        </w:tc>
        <w:tc>
          <w:tcPr>
            <w:shd w:fill="FFFFFF"/>
          </w:tcPr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b/>
                <w:color w:val="000000"/>
                <w:sz w:val="21"/>
              </w:rPr>
              <w:t xml:space="preserve">说明</w:t>
            </w:r>
          </w:p>
        </w:tc>
      </w:tr>
      <w:tr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V1.0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2025-11-10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项目组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完成初版课程文档</w:t>
            </w:r>
          </w:p>
        </w:tc>
      </w:tr>
      <w:tr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V2.0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2026-03-12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项目组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统一项目名称、技术基线和阶段交付内容</w:t>
            </w:r>
          </w:p>
        </w:tc>
      </w:tr>
      <w:tr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V3.0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2026-06-14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项目组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参考课程交付样例统一封面与归档格式，补充数据理解、技术难点、测试验收和 DOCX 交付信息</w:t>
            </w:r>
          </w:p>
        </w:tc>
      </w:tr>
    </w:tbl>
    <w:bookmarkEnd w:id="21"/>
    <w:bookmarkStart w:id="22" w:name="文档目的"/>
    <w:p>
      <w:pPr>
        <w:pStyle w:val="Heading2"/>
      </w:pPr>
      <w:r>
        <w:rPr>
          <w:rFonts w:ascii="宋体" w:hAnsi="宋体" w:eastAsia="宋体"/>
          <w:color w:val="000000"/>
        </w:rPr>
        <w:t xml:space="preserve">1. 文档目的</w:t>
      </w:r>
    </w:p>
    <w:p>
      <w:pPr>
        <w:pStyle w:val="FirstParagraph"/>
        <w:spacing w:line="276" w:lineRule="auto" w:after="0"/>
        <w:ind w:firstLine="420"/>
      </w:pPr>
      <w:r>
        <w:rPr>
          <w:rFonts w:ascii="宋体" w:hAnsi="宋体" w:eastAsia="宋体"/>
          <w:color w:val="000000"/>
        </w:rPr>
        <w:t xml:space="preserve">本文档用于补充</w:t>
      </w:r>
      <w:r>
        <w:rPr>
          <w:rFonts w:ascii="宋体" w:hAnsi="宋体" w:eastAsia="宋体"/>
          <w:color w:val="000000"/>
        </w:rPr>
        <w:t xml:space="preserve">“</w:t>
      </w:r>
      <w:r>
        <w:rPr>
          <w:rFonts w:ascii="宋体" w:hAnsi="宋体" w:eastAsia="宋体"/>
          <w:color w:val="000000"/>
        </w:rPr>
        <w:t xml:space="preserve">工业轴承设备剩余寿命预测系统的实现</w:t>
      </w:r>
      <w:r>
        <w:rPr>
          <w:rFonts w:ascii="宋体" w:hAnsi="宋体" w:eastAsia="宋体"/>
          <w:color w:val="000000"/>
        </w:rPr>
        <w:t xml:space="preserve">”</w:t>
      </w:r>
      <w:r>
        <w:rPr>
          <w:rFonts w:ascii="宋体" w:hAnsi="宋体" w:eastAsia="宋体"/>
          <w:color w:val="000000"/>
        </w:rPr>
        <w:t xml:space="preserve">的 UML 设计说明，明确系统主要参与者、核心类关系、训练与评估顺序、组件边界和部署方式。文档与</w:t>
      </w:r>
      <w:r>
        <w:rPr>
          <w:rFonts w:ascii="宋体" w:hAnsi="宋体" w:eastAsia="宋体"/>
          <w:color w:val="000000"/>
        </w:rPr>
        <w:t xml:space="preserve"> </w:t>
      </w:r>
      <w:r>
        <w:rPr>
          <w:rStyle w:val="VerbatimChar"/>
          <w:rFonts w:ascii="宋体" w:hAnsi="宋体" w:eastAsia="宋体"/>
          <w:color w:val="000000"/>
        </w:rPr>
        <w:t xml:space="preserve">06_设计文档.md</w:t>
      </w:r>
      <w:r>
        <w:rPr>
          <w:rFonts w:ascii="宋体" w:hAnsi="宋体" w:eastAsia="宋体"/>
          <w:color w:val="000000"/>
        </w:rPr>
        <w:t xml:space="preserve"> </w:t>
      </w:r>
      <w:r>
        <w:rPr>
          <w:rFonts w:ascii="宋体" w:hAnsi="宋体" w:eastAsia="宋体"/>
          <w:color w:val="000000"/>
        </w:rPr>
        <w:t xml:space="preserve">配套使用，重点回答系统如何从真实轴承数据进入统一工程流程，以及各模块如何协作完成 RUL 预测。</w:t>
      </w:r>
    </w:p>
    <w:p>
      <w:pPr>
        <w:pStyle w:val="BodyText"/>
        <w:spacing w:line="276" w:lineRule="auto" w:after="0"/>
        <w:ind w:firstLine="420"/>
      </w:pPr>
      <w:r>
        <w:rPr>
          <w:rFonts w:ascii="宋体" w:hAnsi="宋体" w:eastAsia="宋体"/>
          <w:color w:val="000000"/>
        </w:rPr>
        <w:t xml:space="preserve">本项目 UML 设计遵循两个原则：</w:t>
      </w:r>
    </w:p>
    <w:p>
      <w:pPr>
        <w:numPr>
          <w:ilvl w:val="0"/>
          <w:numId w:val="1001"/>
        </w:numPr>
        <w:pStyle w:val="Compact"/>
        <w:spacing w:line="276" w:lineRule="auto" w:after="0"/>
        <w:ind w:firstLine="420"/>
      </w:pPr>
      <w:r>
        <w:rPr>
          <w:rFonts w:ascii="宋体" w:hAnsi="宋体" w:eastAsia="宋体"/>
          <w:color w:val="000000"/>
        </w:rPr>
        <w:t xml:space="preserve">图示服务于工程实现，不额外引入代码中不存在的复杂对象。</w:t>
      </w:r>
    </w:p>
    <w:p>
      <w:pPr>
        <w:numPr>
          <w:ilvl w:val="0"/>
          <w:numId w:val="1001"/>
        </w:numPr>
        <w:pStyle w:val="Compact"/>
        <w:spacing w:line="276" w:lineRule="auto" w:after="0"/>
        <w:ind w:firstLine="420"/>
      </w:pPr>
      <w:r>
        <w:rPr>
          <w:rFonts w:ascii="宋体" w:hAnsi="宋体" w:eastAsia="宋体"/>
          <w:color w:val="000000"/>
        </w:rPr>
        <w:t xml:space="preserve">图示围绕 RUL 预测主线展开，退化阶段标注、生存概率和可视化作为辅助能力说明。</w:t>
      </w:r>
    </w:p>
    <w:bookmarkEnd w:id="22"/>
    <w:bookmarkStart w:id="23" w:name="uml-建模范围"/>
    <w:p>
      <w:pPr>
        <w:pStyle w:val="Heading2"/>
      </w:pPr>
      <w:r>
        <w:rPr>
          <w:rFonts w:ascii="宋体" w:hAnsi="宋体" w:eastAsia="宋体"/>
          <w:color w:val="000000"/>
        </w:rPr>
        <w:t xml:space="preserve">2. UML 建模范围</w:t>
      </w:r>
    </w:p>
    <w:tbl>
      <w:tblPr>
        <w:tblStyle w:val="Table"/>
        <w:tblW w:type="pct" w:w="5000.0"/>
        <w:tblLook w:firstRow="1" w:lastRow="0" w:firstColumn="0" w:lastColumn="0" w:noHBand="0" w:noVBand="0" w:val="002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2640"/>
        <w:gridCol w:w="2640"/>
        <w:gridCol w:w="2640"/>
      </w:tblGrid>
      <w:tr>
        <w:tc>
          <w:tcPr>
            <w:shd w:fill="FFFFFF"/>
          </w:tcPr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b/>
                <w:color w:val="000000"/>
                <w:sz w:val="21"/>
              </w:rPr>
              <w:t xml:space="preserve">视图</w:t>
            </w:r>
          </w:p>
        </w:tc>
        <w:tc>
          <w:tcPr>
            <w:shd w:fill="FFFFFF"/>
          </w:tcPr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b/>
                <w:color w:val="000000"/>
                <w:sz w:val="21"/>
              </w:rPr>
              <w:t xml:space="preserve">关注点</w:t>
            </w:r>
          </w:p>
        </w:tc>
        <w:tc>
          <w:tcPr>
            <w:shd w:fill="FFFFFF"/>
          </w:tcPr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b/>
                <w:color w:val="000000"/>
                <w:sz w:val="21"/>
              </w:rPr>
              <w:t xml:space="preserve">对应模块</w:t>
            </w:r>
          </w:p>
        </w:tc>
      </w:tr>
      <w:tr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用例图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使用者如何完成数据导入、特征分析、模型训练、论文复现和结果查看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Style w:val="VerbatimChar"/>
                <w:rFonts w:ascii="宋体" w:hAnsi="宋体" w:eastAsia="宋体"/>
                <w:color w:val="000000"/>
                <w:sz w:val="21"/>
              </w:rPr>
              <w:t xml:space="preserve">dataset</w:t>
            </w:r>
            <w:r>
              <w:rPr>
                <w:rFonts w:ascii="宋体" w:hAnsi="宋体" w:eastAsia="宋体"/>
                <w:color w:val="000000"/>
                <w:sz w:val="21"/>
              </w:rPr>
              <w:t xml:space="preserve">、</w:t>
            </w:r>
            <w:r>
              <w:rPr>
                <w:rStyle w:val="VerbatimChar"/>
                <w:rFonts w:ascii="宋体" w:hAnsi="宋体" w:eastAsia="宋体"/>
                <w:color w:val="000000"/>
                <w:sz w:val="21"/>
              </w:rPr>
              <w:t xml:space="preserve">feature</w:t>
            </w:r>
            <w:r>
              <w:rPr>
                <w:rFonts w:ascii="宋体" w:hAnsi="宋体" w:eastAsia="宋体"/>
                <w:color w:val="000000"/>
                <w:sz w:val="21"/>
              </w:rPr>
              <w:t xml:space="preserve">、</w:t>
            </w:r>
            <w:r>
              <w:rPr>
                <w:rStyle w:val="VerbatimChar"/>
                <w:rFonts w:ascii="宋体" w:hAnsi="宋体" w:eastAsia="宋体"/>
                <w:color w:val="000000"/>
                <w:sz w:val="21"/>
              </w:rPr>
              <w:t xml:space="preserve">training</w:t>
            </w:r>
            <w:r>
              <w:rPr>
                <w:rFonts w:ascii="宋体" w:hAnsi="宋体" w:eastAsia="宋体"/>
                <w:color w:val="000000"/>
                <w:sz w:val="21"/>
              </w:rPr>
              <w:t xml:space="preserve">、</w:t>
            </w:r>
            <w:r>
              <w:rPr>
                <w:rStyle w:val="VerbatimChar"/>
                <w:rFonts w:ascii="宋体" w:hAnsi="宋体" w:eastAsia="宋体"/>
                <w:color w:val="000000"/>
                <w:sz w:val="21"/>
              </w:rPr>
              <w:t xml:space="preserve">evaluation</w:t>
            </w:r>
            <w:r>
              <w:rPr>
                <w:rFonts w:ascii="宋体" w:hAnsi="宋体" w:eastAsia="宋体"/>
                <w:color w:val="000000"/>
                <w:sz w:val="21"/>
              </w:rPr>
              <w:t xml:space="preserve">、</w:t>
            </w:r>
            <w:r>
              <w:rPr>
                <w:rStyle w:val="VerbatimChar"/>
                <w:rFonts w:ascii="宋体" w:hAnsi="宋体" w:eastAsia="宋体"/>
                <w:color w:val="000000"/>
                <w:sz w:val="21"/>
              </w:rPr>
              <w:t xml:space="preserve">examples</w:t>
            </w:r>
          </w:p>
        </w:tc>
      </w:tr>
      <w:tr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类图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数据实体、loader、特征提取、标签构造、模型、训练器、评估器之间的静态关系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Style w:val="VerbatimChar"/>
                <w:rFonts w:ascii="宋体" w:hAnsi="宋体" w:eastAsia="宋体"/>
                <w:color w:val="000000"/>
                <w:sz w:val="21"/>
              </w:rPr>
              <w:t xml:space="preserve">src/USTC/SSE/BearingPrediction</w:t>
            </w:r>
          </w:p>
        </w:tc>
      </w:tr>
      <w:tr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顺序图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一次 RUL 训练和评估请求的调用顺序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loader -&gt; labeler -&gt; trainer -&gt; tester -&gt; evaluator</w:t>
            </w:r>
          </w:p>
        </w:tc>
      </w:tr>
      <w:tr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组件图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工程包、notebook、文档和输出目录的边界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Style w:val="VerbatimChar"/>
                <w:rFonts w:ascii="宋体" w:hAnsi="宋体" w:eastAsia="宋体"/>
                <w:color w:val="000000"/>
                <w:sz w:val="21"/>
              </w:rPr>
              <w:t xml:space="preserve">src</w:t>
            </w:r>
            <w:r>
              <w:rPr>
                <w:rFonts w:ascii="宋体" w:hAnsi="宋体" w:eastAsia="宋体"/>
                <w:color w:val="000000"/>
                <w:sz w:val="21"/>
              </w:rPr>
              <w:t xml:space="preserve">、</w:t>
            </w:r>
            <w:r>
              <w:rPr>
                <w:rStyle w:val="VerbatimChar"/>
                <w:rFonts w:ascii="宋体" w:hAnsi="宋体" w:eastAsia="宋体"/>
                <w:color w:val="000000"/>
                <w:sz w:val="21"/>
              </w:rPr>
              <w:t xml:space="preserve">examples</w:t>
            </w:r>
            <w:r>
              <w:rPr>
                <w:rFonts w:ascii="宋体" w:hAnsi="宋体" w:eastAsia="宋体"/>
                <w:color w:val="000000"/>
                <w:sz w:val="21"/>
              </w:rPr>
              <w:t xml:space="preserve">、</w:t>
            </w:r>
            <w:r>
              <w:rPr>
                <w:rStyle w:val="VerbatimChar"/>
                <w:rFonts w:ascii="宋体" w:hAnsi="宋体" w:eastAsia="宋体"/>
                <w:color w:val="000000"/>
                <w:sz w:val="21"/>
              </w:rPr>
              <w:t xml:space="preserve">tests</w:t>
            </w:r>
            <w:r>
              <w:rPr>
                <w:rFonts w:ascii="宋体" w:hAnsi="宋体" w:eastAsia="宋体"/>
                <w:color w:val="000000"/>
                <w:sz w:val="21"/>
              </w:rPr>
              <w:t xml:space="preserve">、</w:t>
            </w:r>
            <w:r>
              <w:rPr>
                <w:rStyle w:val="VerbatimChar"/>
                <w:rFonts w:ascii="宋体" w:hAnsi="宋体" w:eastAsia="宋体"/>
                <w:color w:val="000000"/>
                <w:sz w:val="21"/>
              </w:rPr>
              <w:t xml:space="preserve">docx</w:t>
            </w:r>
            <w:r>
              <w:rPr>
                <w:rFonts w:ascii="宋体" w:hAnsi="宋体" w:eastAsia="宋体"/>
                <w:color w:val="000000"/>
                <w:sz w:val="21"/>
              </w:rPr>
              <w:t xml:space="preserve">、</w:t>
            </w:r>
            <w:r>
              <w:rPr>
                <w:rStyle w:val="VerbatimChar"/>
                <w:rFonts w:ascii="宋体" w:hAnsi="宋体" w:eastAsia="宋体"/>
                <w:color w:val="000000"/>
                <w:sz w:val="21"/>
              </w:rPr>
              <w:t xml:space="preserve">outputs</w:t>
            </w:r>
          </w:p>
        </w:tc>
      </w:tr>
      <w:tr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部署图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本地课程环境下的运行和数据存放方式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Python 3.11、uv、本地数据目录、实验输出目录</w:t>
            </w:r>
          </w:p>
        </w:tc>
      </w:tr>
    </w:tbl>
    <w:bookmarkEnd w:id="23"/>
    <w:bookmarkStart w:id="25" w:name="用例图"/>
    <w:p>
      <w:pPr>
        <w:pStyle w:val="Heading2"/>
      </w:pPr>
      <w:r>
        <w:rPr>
          <w:rFonts w:ascii="宋体" w:hAnsi="宋体" w:eastAsia="宋体"/>
          <w:color w:val="000000"/>
        </w:rPr>
        <w:t xml:space="preserve">3. 用例图</w:t>
      </w:r>
    </w:p>
    <w:p>
      <w:pPr>
        <w:pStyle w:val="CaptionedFigure"/>
      </w:pPr>
      <w:r>
        <w:rPr>
          <w:rFonts w:ascii="宋体" w:hAnsi="宋体" w:eastAsia="宋体"/>
          <w:color w:val="000000"/>
        </w:rPr>
        <w:drawing>
          <wp:inline>
            <wp:extent cx="5334000" cy="3094268"/>
            <wp:effectExtent b="0" l="0" r="0" t="0"/>
            <wp:docPr descr="UML 用例图" title="" id="1" name="Picture"/>
            <a:graphic>
              <a:graphicData uri="http://schemas.openxmlformats.org/drawingml/2006/picture">
                <pic:pic>
                  <pic:nvPicPr>
                    <pic:cNvPr descr="../assets/uml/use-case.png" id="0" name="Picture"/>
                    <pic:cNvPicPr>
                      <a:picLocks noChangeArrowheads="1" noChangeAspect="1"/>
                    </pic:cNvPicPr>
                  </pic:nvPicPr>
                  <pic:blipFill>
                    <a:blip r:embed="rId2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094268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rPr>
          <w:rFonts w:ascii="宋体" w:hAnsi="宋体" w:eastAsia="宋体"/>
          <w:color w:val="000000"/>
        </w:rPr>
        <w:t xml:space="preserve">UML 用例图</w:t>
      </w:r>
    </w:p>
    <w:p>
      <w:pPr>
        <w:pStyle w:val="BodyText"/>
        <w:spacing w:line="276" w:lineRule="auto" w:after="0"/>
        <w:ind w:firstLine="420"/>
      </w:pPr>
      <w:r>
        <w:rPr>
          <w:rFonts w:ascii="宋体" w:hAnsi="宋体" w:eastAsia="宋体"/>
          <w:color w:val="000000"/>
        </w:rPr>
        <w:t xml:space="preserve">用例说明：</w:t>
      </w:r>
    </w:p>
    <w:p>
      <w:pPr>
        <w:numPr>
          <w:ilvl w:val="0"/>
          <w:numId w:val="1002"/>
        </w:numPr>
        <w:pStyle w:val="Compact"/>
        <w:spacing w:line="276" w:lineRule="auto" w:after="0"/>
        <w:ind w:firstLine="420"/>
      </w:pPr>
      <w:r>
        <w:rPr>
          <w:rFonts w:ascii="宋体" w:hAnsi="宋体" w:eastAsia="宋体"/>
          <w:color w:val="000000"/>
        </w:rPr>
        <w:t xml:space="preserve">实验使用者主要关注从数据到训练再到结果解释的完整链路。</w:t>
      </w:r>
    </w:p>
    <w:p>
      <w:pPr>
        <w:numPr>
          <w:ilvl w:val="0"/>
          <w:numId w:val="1002"/>
        </w:numPr>
        <w:pStyle w:val="Compact"/>
        <w:spacing w:line="276" w:lineRule="auto" w:after="0"/>
        <w:ind w:firstLine="420"/>
      </w:pPr>
      <w:r>
        <w:rPr>
          <w:rFonts w:ascii="宋体" w:hAnsi="宋体" w:eastAsia="宋体"/>
          <w:color w:val="000000"/>
        </w:rPr>
        <w:t xml:space="preserve">课程评审人员主要关注系统是否可运行、结果是否可解释、文档是否规范。</w:t>
      </w:r>
    </w:p>
    <w:p>
      <w:pPr>
        <w:numPr>
          <w:ilvl w:val="0"/>
          <w:numId w:val="1002"/>
        </w:numPr>
        <w:pStyle w:val="Compact"/>
        <w:spacing w:line="276" w:lineRule="auto" w:after="0"/>
        <w:ind w:firstLine="420"/>
      </w:pPr>
      <w:r>
        <w:rPr>
          <w:rFonts w:ascii="宋体" w:hAnsi="宋体" w:eastAsia="宋体"/>
          <w:color w:val="000000"/>
        </w:rPr>
        <w:t xml:space="preserve">项目维护者主要关注测试、导出脚本和后续扩展。</w:t>
      </w:r>
    </w:p>
    <w:bookmarkEnd w:id="25"/>
    <w:bookmarkStart w:id="27" w:name="核心类图"/>
    <w:p>
      <w:pPr>
        <w:pStyle w:val="Heading2"/>
      </w:pPr>
      <w:r>
        <w:rPr>
          <w:rFonts w:ascii="宋体" w:hAnsi="宋体" w:eastAsia="宋体"/>
          <w:color w:val="000000"/>
        </w:rPr>
        <w:t xml:space="preserve">4. 核心类图</w:t>
      </w:r>
    </w:p>
    <w:p>
      <w:pPr>
        <w:pStyle w:val="CaptionedFigure"/>
      </w:pPr>
      <w:r>
        <w:rPr>
          <w:rFonts w:ascii="宋体" w:hAnsi="宋体" w:eastAsia="宋体"/>
          <w:color w:val="000000"/>
        </w:rPr>
        <w:drawing>
          <wp:inline>
            <wp:extent cx="5334000" cy="3060915"/>
            <wp:effectExtent b="0" l="0" r="0" t="0"/>
            <wp:docPr descr="UML 核心类图" title="" id="1" name="Picture"/>
            <a:graphic>
              <a:graphicData uri="http://schemas.openxmlformats.org/drawingml/2006/picture">
                <pic:pic>
                  <pic:nvPicPr>
                    <pic:cNvPr descr="../assets/uml/class-diagram.png" id="0" name="Picture"/>
                    <pic:cNvPicPr>
                      <a:picLocks noChangeArrowheads="1" noChangeAspect="1"/>
                    </pic:cNvPicPr>
                  </pic:nvPicPr>
                  <pic:blipFill>
                    <a:blip r:embed="rId2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06091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rPr>
          <w:rFonts w:ascii="宋体" w:hAnsi="宋体" w:eastAsia="宋体"/>
          <w:color w:val="000000"/>
        </w:rPr>
        <w:t xml:space="preserve">UML 核心类图</w:t>
      </w:r>
    </w:p>
    <w:p>
      <w:pPr>
        <w:pStyle w:val="BodyText"/>
        <w:spacing w:line="276" w:lineRule="auto" w:after="0"/>
        <w:ind w:firstLine="420"/>
      </w:pPr>
      <w:r>
        <w:rPr>
          <w:rFonts w:ascii="宋体" w:hAnsi="宋体" w:eastAsia="宋体"/>
          <w:color w:val="000000"/>
        </w:rPr>
        <w:t xml:space="preserve">类图说明：</w:t>
      </w:r>
    </w:p>
    <w:p>
      <w:pPr>
        <w:numPr>
          <w:ilvl w:val="0"/>
          <w:numId w:val="1003"/>
        </w:numPr>
        <w:pStyle w:val="Compact"/>
        <w:spacing w:line="276" w:lineRule="auto" w:after="0"/>
        <w:ind w:firstLine="420"/>
      </w:pPr>
      <w:r>
        <w:rPr>
          <w:rStyle w:val="VerbatimChar"/>
          <w:rFonts w:ascii="宋体" w:hAnsi="宋体" w:eastAsia="宋体"/>
          <w:color w:val="000000"/>
        </w:rPr>
        <w:t xml:space="preserve">XJTULoader</w:t>
      </w:r>
      <w:r>
        <w:rPr>
          <w:rFonts w:ascii="宋体" w:hAnsi="宋体" w:eastAsia="宋体"/>
          <w:color w:val="000000"/>
        </w:rPr>
        <w:t xml:space="preserve"> </w:t>
      </w:r>
      <w:r>
        <w:rPr>
          <w:rFonts w:ascii="宋体" w:hAnsi="宋体" w:eastAsia="宋体"/>
          <w:color w:val="000000"/>
        </w:rPr>
        <w:t xml:space="preserve">和</w:t>
      </w:r>
      <w:r>
        <w:rPr>
          <w:rFonts w:ascii="宋体" w:hAnsi="宋体" w:eastAsia="宋体"/>
          <w:color w:val="000000"/>
        </w:rPr>
        <w:t xml:space="preserve"> </w:t>
      </w:r>
      <w:r>
        <w:rPr>
          <w:rStyle w:val="VerbatimChar"/>
          <w:rFonts w:ascii="宋体" w:hAnsi="宋体" w:eastAsia="宋体"/>
          <w:color w:val="000000"/>
        </w:rPr>
        <w:t xml:space="preserve">PHM2012Loader</w:t>
      </w:r>
      <w:r>
        <w:rPr>
          <w:rFonts w:ascii="宋体" w:hAnsi="宋体" w:eastAsia="宋体"/>
          <w:color w:val="000000"/>
        </w:rPr>
        <w:t xml:space="preserve"> </w:t>
      </w:r>
      <w:r>
        <w:rPr>
          <w:rFonts w:ascii="宋体" w:hAnsi="宋体" w:eastAsia="宋体"/>
          <w:color w:val="000000"/>
        </w:rPr>
        <w:t xml:space="preserve">只负责数据读取和元数据组织，不参与模型训练。</w:t>
      </w:r>
    </w:p>
    <w:p>
      <w:pPr>
        <w:numPr>
          <w:ilvl w:val="0"/>
          <w:numId w:val="1003"/>
        </w:numPr>
        <w:pStyle w:val="Compact"/>
        <w:spacing w:line="276" w:lineRule="auto" w:after="0"/>
        <w:ind w:firstLine="420"/>
      </w:pPr>
      <w:r>
        <w:rPr>
          <w:rStyle w:val="VerbatimChar"/>
          <w:rFonts w:ascii="宋体" w:hAnsi="宋体" w:eastAsia="宋体"/>
          <w:color w:val="000000"/>
        </w:rPr>
        <w:t xml:space="preserve">FeatureExtractor</w:t>
      </w:r>
      <w:r>
        <w:rPr>
          <w:rFonts w:ascii="宋体" w:hAnsi="宋体" w:eastAsia="宋体"/>
          <w:color w:val="000000"/>
        </w:rPr>
        <w:t xml:space="preserve"> </w:t>
      </w:r>
      <w:r>
        <w:rPr>
          <w:rFonts w:ascii="宋体" w:hAnsi="宋体" w:eastAsia="宋体"/>
          <w:color w:val="000000"/>
        </w:rPr>
        <w:t xml:space="preserve">将原始振动快照转换为可解释特征，便于跨数据集复用。</w:t>
      </w:r>
    </w:p>
    <w:p>
      <w:pPr>
        <w:numPr>
          <w:ilvl w:val="0"/>
          <w:numId w:val="1003"/>
        </w:numPr>
        <w:pStyle w:val="Compact"/>
        <w:spacing w:line="276" w:lineRule="auto" w:after="0"/>
        <w:ind w:firstLine="420"/>
      </w:pPr>
      <w:r>
        <w:rPr>
          <w:rStyle w:val="VerbatimChar"/>
          <w:rFonts w:ascii="宋体" w:hAnsi="宋体" w:eastAsia="宋体"/>
          <w:color w:val="000000"/>
        </w:rPr>
        <w:t xml:space="preserve">FeatureSequenceRulLabeler</w:t>
      </w:r>
      <w:r>
        <w:rPr>
          <w:rFonts w:ascii="宋体" w:hAnsi="宋体" w:eastAsia="宋体"/>
          <w:color w:val="000000"/>
        </w:rPr>
        <w:t xml:space="preserve"> </w:t>
      </w:r>
      <w:r>
        <w:rPr>
          <w:rFonts w:ascii="宋体" w:hAnsi="宋体" w:eastAsia="宋体"/>
          <w:color w:val="000000"/>
        </w:rPr>
        <w:t xml:space="preserve">负责将连续特征组织成序列，并生成 RUL 目标。</w:t>
      </w:r>
    </w:p>
    <w:p>
      <w:pPr>
        <w:numPr>
          <w:ilvl w:val="0"/>
          <w:numId w:val="1003"/>
        </w:numPr>
        <w:pStyle w:val="Compact"/>
        <w:spacing w:line="276" w:lineRule="auto" w:after="0"/>
        <w:ind w:firstLine="420"/>
      </w:pPr>
      <w:r>
        <w:rPr>
          <w:rFonts w:ascii="宋体" w:hAnsi="宋体" w:eastAsia="宋体"/>
          <w:color w:val="000000"/>
        </w:rPr>
        <w:t xml:space="preserve">模型类只处理张量输入输出，训练、测试和指标计算由独立组件负责。</w:t>
      </w:r>
    </w:p>
    <w:bookmarkEnd w:id="27"/>
    <w:bookmarkStart w:id="29" w:name="rul-训练顺序图"/>
    <w:p>
      <w:pPr>
        <w:pStyle w:val="Heading2"/>
      </w:pPr>
      <w:r>
        <w:rPr>
          <w:rFonts w:ascii="宋体" w:hAnsi="宋体" w:eastAsia="宋体"/>
          <w:color w:val="000000"/>
        </w:rPr>
        <w:t xml:space="preserve">5. RUL 训练顺序图</w:t>
      </w:r>
    </w:p>
    <w:p>
      <w:pPr>
        <w:pStyle w:val="CaptionedFigure"/>
      </w:pPr>
      <w:r>
        <w:rPr>
          <w:rFonts w:ascii="宋体" w:hAnsi="宋体" w:eastAsia="宋体"/>
          <w:color w:val="000000"/>
        </w:rPr>
        <w:drawing>
          <wp:inline>
            <wp:extent cx="5334000" cy="2854299"/>
            <wp:effectExtent b="0" l="0" r="0" t="0"/>
            <wp:docPr descr="UML 顺序图" title="" id="1" name="Picture"/>
            <a:graphic>
              <a:graphicData uri="http://schemas.openxmlformats.org/drawingml/2006/picture">
                <pic:pic>
                  <pic:nvPicPr>
                    <pic:cNvPr descr="../assets/uml/sequence-diagram.png" id="0" name="Picture"/>
                    <pic:cNvPicPr>
                      <a:picLocks noChangeArrowheads="1" noChangeAspect="1"/>
                    </pic:cNvPicPr>
                  </pic:nvPicPr>
                  <pic:blipFill>
                    <a:blip r:embed="rId2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85429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rPr>
          <w:rFonts w:ascii="宋体" w:hAnsi="宋体" w:eastAsia="宋体"/>
          <w:color w:val="000000"/>
        </w:rPr>
        <w:t xml:space="preserve">UML 顺序图</w:t>
      </w:r>
    </w:p>
    <w:p>
      <w:pPr>
        <w:pStyle w:val="BodyText"/>
        <w:spacing w:line="276" w:lineRule="auto" w:after="0"/>
        <w:ind w:firstLine="420"/>
      </w:pPr>
      <w:r>
        <w:rPr>
          <w:rFonts w:ascii="宋体" w:hAnsi="宋体" w:eastAsia="宋体"/>
          <w:color w:val="000000"/>
        </w:rPr>
        <w:t xml:space="preserve">顺序图说明：</w:t>
      </w:r>
    </w:p>
    <w:p>
      <w:pPr>
        <w:numPr>
          <w:ilvl w:val="0"/>
          <w:numId w:val="1004"/>
        </w:numPr>
        <w:pStyle w:val="Compact"/>
        <w:spacing w:line="276" w:lineRule="auto" w:after="0"/>
        <w:ind w:firstLine="420"/>
      </w:pPr>
      <w:r>
        <w:rPr>
          <w:rFonts w:ascii="宋体" w:hAnsi="宋体" w:eastAsia="宋体"/>
          <w:color w:val="000000"/>
        </w:rPr>
        <w:t xml:space="preserve">Notebook 或 API 只是入口，核心计算由包内模块完成。</w:t>
      </w:r>
    </w:p>
    <w:p>
      <w:pPr>
        <w:numPr>
          <w:ilvl w:val="0"/>
          <w:numId w:val="1004"/>
        </w:numPr>
        <w:pStyle w:val="Compact"/>
        <w:spacing w:line="276" w:lineRule="auto" w:after="0"/>
        <w:ind w:firstLine="420"/>
      </w:pPr>
      <w:r>
        <w:rPr>
          <w:rFonts w:ascii="宋体" w:hAnsi="宋体" w:eastAsia="宋体"/>
          <w:color w:val="000000"/>
        </w:rPr>
        <w:t xml:space="preserve">训练过程必须输出</w:t>
      </w:r>
      <w:r>
        <w:rPr>
          <w:rFonts w:ascii="宋体" w:hAnsi="宋体" w:eastAsia="宋体"/>
          <w:color w:val="000000"/>
        </w:rPr>
        <w:t xml:space="preserve"> </w:t>
      </w:r>
      <w:r>
        <w:rPr>
          <w:rStyle w:val="VerbatimChar"/>
          <w:rFonts w:ascii="宋体" w:hAnsi="宋体" w:eastAsia="宋体"/>
          <w:color w:val="000000"/>
        </w:rPr>
        <w:t xml:space="preserve">history.csv</w:t>
      </w:r>
      <w:r>
        <w:rPr>
          <w:rFonts w:ascii="宋体" w:hAnsi="宋体" w:eastAsia="宋体"/>
          <w:color w:val="000000"/>
        </w:rPr>
        <w:t xml:space="preserve">，用于证明 epoch 循环真实执行。</w:t>
      </w:r>
    </w:p>
    <w:p>
      <w:pPr>
        <w:numPr>
          <w:ilvl w:val="0"/>
          <w:numId w:val="1004"/>
        </w:numPr>
        <w:pStyle w:val="Compact"/>
        <w:spacing w:line="276" w:lineRule="auto" w:after="0"/>
        <w:ind w:firstLine="420"/>
      </w:pPr>
      <w:r>
        <w:rPr>
          <w:rFonts w:ascii="宋体" w:hAnsi="宋体" w:eastAsia="宋体"/>
          <w:color w:val="000000"/>
        </w:rPr>
        <w:t xml:space="preserve">预测结果与指标分开保存，便于后续画图、复现实验和课程检查。</w:t>
      </w:r>
    </w:p>
    <w:bookmarkEnd w:id="29"/>
    <w:bookmarkStart w:id="31" w:name="组件图"/>
    <w:p>
      <w:pPr>
        <w:pStyle w:val="Heading2"/>
      </w:pPr>
      <w:r>
        <w:rPr>
          <w:rFonts w:ascii="宋体" w:hAnsi="宋体" w:eastAsia="宋体"/>
          <w:color w:val="000000"/>
        </w:rPr>
        <w:t xml:space="preserve">6. 组件图</w:t>
      </w:r>
    </w:p>
    <w:p>
      <w:pPr>
        <w:pStyle w:val="CaptionedFigure"/>
      </w:pPr>
      <w:r>
        <w:rPr>
          <w:rFonts w:ascii="宋体" w:hAnsi="宋体" w:eastAsia="宋体"/>
          <w:color w:val="000000"/>
        </w:rPr>
        <w:drawing>
          <wp:inline>
            <wp:extent cx="5334000" cy="3094268"/>
            <wp:effectExtent b="0" l="0" r="0" t="0"/>
            <wp:docPr descr="UML 组件图" title="" id="1" name="Picture"/>
            <a:graphic>
              <a:graphicData uri="http://schemas.openxmlformats.org/drawingml/2006/picture">
                <pic:pic>
                  <pic:nvPicPr>
                    <pic:cNvPr descr="../assets/uml/component-diagram.png" id="0" name="Picture"/>
                    <pic:cNvPicPr>
                      <a:picLocks noChangeArrowheads="1" noChangeAspect="1"/>
                    </pic:cNvPicPr>
                  </pic:nvPicPr>
                  <pic:blipFill>
                    <a:blip r:embed="rId3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094268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rPr>
          <w:rFonts w:ascii="宋体" w:hAnsi="宋体" w:eastAsia="宋体"/>
          <w:color w:val="000000"/>
        </w:rPr>
        <w:t xml:space="preserve">UML 组件图</w:t>
      </w:r>
    </w:p>
    <w:p>
      <w:pPr>
        <w:pStyle w:val="BodyText"/>
        <w:spacing w:line="276" w:lineRule="auto" w:after="0"/>
        <w:ind w:firstLine="420"/>
      </w:pPr>
      <w:r>
        <w:rPr>
          <w:rFonts w:ascii="宋体" w:hAnsi="宋体" w:eastAsia="宋体"/>
          <w:color w:val="000000"/>
        </w:rPr>
        <w:t xml:space="preserve">组件图说明：</w:t>
      </w:r>
    </w:p>
    <w:p>
      <w:pPr>
        <w:numPr>
          <w:ilvl w:val="0"/>
          <w:numId w:val="1005"/>
        </w:numPr>
        <w:pStyle w:val="Compact"/>
        <w:spacing w:line="276" w:lineRule="auto" w:after="0"/>
        <w:ind w:firstLine="420"/>
      </w:pPr>
      <w:r>
        <w:rPr>
          <w:rStyle w:val="VerbatimChar"/>
          <w:rFonts w:ascii="宋体" w:hAnsi="宋体" w:eastAsia="宋体"/>
          <w:color w:val="000000"/>
        </w:rPr>
        <w:t xml:space="preserve">src</w:t>
      </w:r>
      <w:r>
        <w:rPr>
          <w:rFonts w:ascii="宋体" w:hAnsi="宋体" w:eastAsia="宋体"/>
          <w:color w:val="000000"/>
        </w:rPr>
        <w:t xml:space="preserve"> </w:t>
      </w:r>
      <w:r>
        <w:rPr>
          <w:rFonts w:ascii="宋体" w:hAnsi="宋体" w:eastAsia="宋体"/>
          <w:color w:val="000000"/>
        </w:rPr>
        <w:t xml:space="preserve">是核心工程包，承担可复用逻辑。</w:t>
      </w:r>
    </w:p>
    <w:p>
      <w:pPr>
        <w:numPr>
          <w:ilvl w:val="0"/>
          <w:numId w:val="1005"/>
        </w:numPr>
        <w:pStyle w:val="Compact"/>
        <w:spacing w:line="276" w:lineRule="auto" w:after="0"/>
        <w:ind w:firstLine="420"/>
      </w:pPr>
      <w:r>
        <w:rPr>
          <w:rStyle w:val="VerbatimChar"/>
          <w:rFonts w:ascii="宋体" w:hAnsi="宋体" w:eastAsia="宋体"/>
          <w:color w:val="000000"/>
        </w:rPr>
        <w:t xml:space="preserve">examples</w:t>
      </w:r>
      <w:r>
        <w:rPr>
          <w:rFonts w:ascii="宋体" w:hAnsi="宋体" w:eastAsia="宋体"/>
          <w:color w:val="000000"/>
        </w:rPr>
        <w:t xml:space="preserve"> </w:t>
      </w:r>
      <w:r>
        <w:rPr>
          <w:rFonts w:ascii="宋体" w:hAnsi="宋体" w:eastAsia="宋体"/>
          <w:color w:val="000000"/>
        </w:rPr>
        <w:t xml:space="preserve">是可执行示例和论文复现实验入口，不应包含大量业务逻辑。</w:t>
      </w:r>
    </w:p>
    <w:p>
      <w:pPr>
        <w:numPr>
          <w:ilvl w:val="0"/>
          <w:numId w:val="1005"/>
        </w:numPr>
        <w:pStyle w:val="Compact"/>
        <w:spacing w:line="276" w:lineRule="auto" w:after="0"/>
        <w:ind w:firstLine="420"/>
      </w:pPr>
      <w:r>
        <w:rPr>
          <w:rStyle w:val="VerbatimChar"/>
          <w:rFonts w:ascii="宋体" w:hAnsi="宋体" w:eastAsia="宋体"/>
          <w:color w:val="000000"/>
        </w:rPr>
        <w:t xml:space="preserve">tests</w:t>
      </w:r>
      <w:r>
        <w:rPr>
          <w:rFonts w:ascii="宋体" w:hAnsi="宋体" w:eastAsia="宋体"/>
          <w:color w:val="000000"/>
        </w:rPr>
        <w:t xml:space="preserve"> </w:t>
      </w:r>
      <w:r>
        <w:rPr>
          <w:rFonts w:ascii="宋体" w:hAnsi="宋体" w:eastAsia="宋体"/>
          <w:color w:val="000000"/>
        </w:rPr>
        <w:t xml:space="preserve">对核心链路做自动化验证。</w:t>
      </w:r>
    </w:p>
    <w:p>
      <w:pPr>
        <w:numPr>
          <w:ilvl w:val="0"/>
          <w:numId w:val="1005"/>
        </w:numPr>
        <w:pStyle w:val="Compact"/>
        <w:spacing w:line="276" w:lineRule="auto" w:after="0"/>
        <w:ind w:firstLine="420"/>
      </w:pPr>
      <w:r>
        <w:rPr>
          <w:rStyle w:val="VerbatimChar"/>
          <w:rFonts w:ascii="宋体" w:hAnsi="宋体" w:eastAsia="宋体"/>
          <w:color w:val="000000"/>
        </w:rPr>
        <w:t xml:space="preserve">docx</w:t>
      </w:r>
      <w:r>
        <w:rPr>
          <w:rFonts w:ascii="宋体" w:hAnsi="宋体" w:eastAsia="宋体"/>
          <w:color w:val="000000"/>
        </w:rPr>
        <w:t xml:space="preserve"> </w:t>
      </w:r>
      <w:r>
        <w:rPr>
          <w:rFonts w:ascii="宋体" w:hAnsi="宋体" w:eastAsia="宋体"/>
          <w:color w:val="000000"/>
        </w:rPr>
        <w:t xml:space="preserve">和</w:t>
      </w:r>
      <w:r>
        <w:rPr>
          <w:rFonts w:ascii="宋体" w:hAnsi="宋体" w:eastAsia="宋体"/>
          <w:color w:val="000000"/>
        </w:rPr>
        <w:t xml:space="preserve"> </w:t>
      </w:r>
      <w:r>
        <w:rPr>
          <w:rStyle w:val="VerbatimChar"/>
          <w:rFonts w:ascii="宋体" w:hAnsi="宋体" w:eastAsia="宋体"/>
          <w:color w:val="000000"/>
        </w:rPr>
        <w:t xml:space="preserve">docs</w:t>
      </w:r>
      <w:r>
        <w:rPr>
          <w:rFonts w:ascii="宋体" w:hAnsi="宋体" w:eastAsia="宋体"/>
          <w:color w:val="000000"/>
        </w:rPr>
        <w:t xml:space="preserve"> </w:t>
      </w:r>
      <w:r>
        <w:rPr>
          <w:rFonts w:ascii="宋体" w:hAnsi="宋体" w:eastAsia="宋体"/>
          <w:color w:val="000000"/>
        </w:rPr>
        <w:t xml:space="preserve">负责课程交付和用户说明，文档结论应能追溯到示例、测试和输出文件。</w:t>
      </w:r>
    </w:p>
    <w:bookmarkEnd w:id="31"/>
    <w:bookmarkStart w:id="33" w:name="部署图"/>
    <w:p>
      <w:pPr>
        <w:pStyle w:val="Heading2"/>
      </w:pPr>
      <w:r>
        <w:rPr>
          <w:rFonts w:ascii="宋体" w:hAnsi="宋体" w:eastAsia="宋体"/>
          <w:color w:val="000000"/>
        </w:rPr>
        <w:t xml:space="preserve">7. 部署图</w:t>
      </w:r>
    </w:p>
    <w:p>
      <w:pPr>
        <w:pStyle w:val="CaptionedFigure"/>
      </w:pPr>
      <w:r>
        <w:rPr>
          <w:rFonts w:ascii="宋体" w:hAnsi="宋体" w:eastAsia="宋体"/>
          <w:color w:val="000000"/>
        </w:rPr>
        <w:drawing>
          <wp:inline>
            <wp:extent cx="5334000" cy="3094268"/>
            <wp:effectExtent b="0" l="0" r="0" t="0"/>
            <wp:docPr descr="UML 部署图" title="" id="1" name="Picture"/>
            <a:graphic>
              <a:graphicData uri="http://schemas.openxmlformats.org/drawingml/2006/picture">
                <pic:pic>
                  <pic:nvPicPr>
                    <pic:cNvPr descr="../assets/uml/deployment-diagram.png" id="0" name="Picture"/>
                    <pic:cNvPicPr>
                      <a:picLocks noChangeArrowheads="1" noChangeAspect="1"/>
                    </pic:cNvPicPr>
                  </pic:nvPicPr>
                  <pic:blipFill>
                    <a:blip r:embed="rId3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094268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rPr>
          <w:rFonts w:ascii="宋体" w:hAnsi="宋体" w:eastAsia="宋体"/>
          <w:color w:val="000000"/>
        </w:rPr>
        <w:t xml:space="preserve">UML 部署图</w:t>
      </w:r>
    </w:p>
    <w:p>
      <w:pPr>
        <w:pStyle w:val="BodyText"/>
        <w:spacing w:line="276" w:lineRule="auto" w:after="0"/>
        <w:ind w:firstLine="420"/>
      </w:pPr>
      <w:r>
        <w:rPr>
          <w:rFonts w:ascii="宋体" w:hAnsi="宋体" w:eastAsia="宋体"/>
          <w:color w:val="000000"/>
        </w:rPr>
        <w:t xml:space="preserve">部署说明：</w:t>
      </w:r>
    </w:p>
    <w:p>
      <w:pPr>
        <w:numPr>
          <w:ilvl w:val="0"/>
          <w:numId w:val="1006"/>
        </w:numPr>
        <w:pStyle w:val="Compact"/>
        <w:spacing w:line="276" w:lineRule="auto" w:after="0"/>
        <w:ind w:firstLine="420"/>
      </w:pPr>
      <w:r>
        <w:rPr>
          <w:rFonts w:ascii="宋体" w:hAnsi="宋体" w:eastAsia="宋体"/>
          <w:color w:val="000000"/>
        </w:rPr>
        <w:t xml:space="preserve">项目以本地课程环境为主，不依赖远程工业采集系统。</w:t>
      </w:r>
    </w:p>
    <w:p>
      <w:pPr>
        <w:numPr>
          <w:ilvl w:val="0"/>
          <w:numId w:val="1006"/>
        </w:numPr>
        <w:pStyle w:val="Compact"/>
        <w:spacing w:line="276" w:lineRule="auto" w:after="0"/>
        <w:ind w:firstLine="420"/>
      </w:pPr>
      <w:r>
        <w:rPr>
          <w:rFonts w:ascii="宋体" w:hAnsi="宋体" w:eastAsia="宋体"/>
          <w:color w:val="000000"/>
        </w:rPr>
        <w:t xml:space="preserve">原始真实数据和训练输出不提交到 Git 仓库，只保留目录约定和可复现说明。</w:t>
      </w:r>
    </w:p>
    <w:p>
      <w:pPr>
        <w:numPr>
          <w:ilvl w:val="0"/>
          <w:numId w:val="1006"/>
        </w:numPr>
        <w:pStyle w:val="Compact"/>
        <w:spacing w:line="276" w:lineRule="auto" w:after="0"/>
        <w:ind w:firstLine="420"/>
      </w:pPr>
      <w:r>
        <w:rPr>
          <w:rFonts w:ascii="宋体" w:hAnsi="宋体" w:eastAsia="宋体"/>
          <w:color w:val="000000"/>
        </w:rPr>
        <w:t xml:space="preserve">课程文档由 Markdown 源文件导出 PDF 和 DOCX，便于审阅和回溯。</w:t>
      </w:r>
    </w:p>
    <w:bookmarkEnd w:id="33"/>
    <w:bookmarkStart w:id="34" w:name="设计一致性说明"/>
    <w:p>
      <w:pPr>
        <w:pStyle w:val="Heading2"/>
      </w:pPr>
      <w:r>
        <w:rPr>
          <w:rFonts w:ascii="宋体" w:hAnsi="宋体" w:eastAsia="宋体"/>
          <w:color w:val="000000"/>
        </w:rPr>
        <w:t xml:space="preserve">8. 设计一致性说明</w:t>
      </w:r>
    </w:p>
    <w:p>
      <w:pPr>
        <w:pStyle w:val="FirstParagraph"/>
        <w:spacing w:line="276" w:lineRule="auto" w:after="0"/>
        <w:ind w:firstLine="420"/>
      </w:pPr>
      <w:r>
        <w:rPr>
          <w:rFonts w:ascii="宋体" w:hAnsi="宋体" w:eastAsia="宋体"/>
          <w:color w:val="000000"/>
        </w:rPr>
        <w:t xml:space="preserve">UML 设计与当前工程实现的对应关系如下：</w:t>
      </w:r>
    </w:p>
    <w:tbl>
      <w:tblPr>
        <w:tblStyle w:val="Table"/>
        <w:tblW w:type="pct" w:w="5000.0"/>
        <w:tblLook w:firstRow="1" w:lastRow="0" w:firstColumn="0" w:lastColumn="0" w:noHBand="0" w:noVBand="0" w:val="002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2640"/>
        <w:gridCol w:w="2640"/>
        <w:gridCol w:w="2640"/>
      </w:tblGrid>
      <w:tr>
        <w:tc>
          <w:tcPr>
            <w:shd w:fill="FFFFFF"/>
          </w:tcPr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b/>
                <w:color w:val="000000"/>
                <w:sz w:val="21"/>
              </w:rPr>
              <w:t xml:space="preserve">UML 元素</w:t>
            </w:r>
          </w:p>
        </w:tc>
        <w:tc>
          <w:tcPr>
            <w:shd w:fill="FFFFFF"/>
          </w:tcPr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b/>
                <w:color w:val="000000"/>
                <w:sz w:val="21"/>
              </w:rPr>
              <w:t xml:space="preserve">工程对应</w:t>
            </w:r>
          </w:p>
        </w:tc>
        <w:tc>
          <w:tcPr>
            <w:shd w:fill="FFFFFF"/>
          </w:tcPr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b/>
                <w:color w:val="000000"/>
                <w:sz w:val="21"/>
              </w:rPr>
              <w:t xml:space="preserve">验证方式</w:t>
            </w:r>
          </w:p>
        </w:tc>
      </w:tr>
      <w:tr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数据 loader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Style w:val="VerbatimChar"/>
                <w:rFonts w:ascii="宋体" w:hAnsi="宋体" w:eastAsia="宋体"/>
                <w:color w:val="000000"/>
                <w:sz w:val="21"/>
              </w:rPr>
              <w:t xml:space="preserve">XJTULoader</w:t>
            </w:r>
            <w:r>
              <w:rPr>
                <w:rFonts w:ascii="宋体" w:hAnsi="宋体" w:eastAsia="宋体"/>
                <w:color w:val="000000"/>
                <w:sz w:val="21"/>
              </w:rPr>
              <w:t xml:space="preserve">、</w:t>
            </w:r>
            <w:r>
              <w:rPr>
                <w:rStyle w:val="VerbatimChar"/>
                <w:rFonts w:ascii="宋体" w:hAnsi="宋体" w:eastAsia="宋体"/>
                <w:color w:val="000000"/>
                <w:sz w:val="21"/>
              </w:rPr>
              <w:t xml:space="preserve">PHM2012Loader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数据加载测试和 loader overview notebook</w:t>
            </w:r>
          </w:p>
        </w:tc>
      </w:tr>
      <w:tr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特征与标签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时频域特征、</w:t>
            </w:r>
            <w:r>
              <w:rPr>
                <w:rStyle w:val="VerbatimChar"/>
                <w:rFonts w:ascii="宋体" w:hAnsi="宋体" w:eastAsia="宋体"/>
                <w:color w:val="000000"/>
                <w:sz w:val="21"/>
              </w:rPr>
              <w:t xml:space="preserve">FeatureSequenceRulLabeler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特征导出 notebook、论文复现 workflow</w:t>
            </w:r>
          </w:p>
        </w:tc>
      </w:tr>
      <w:tr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RUL 模型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CNN、RNN、CNN-LSTM-AM、XLSTM-Transformer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模型 forward 测试和真实训练记录</w:t>
            </w:r>
          </w:p>
        </w:tc>
      </w:tr>
      <w:tr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评价器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RMSE、R2、SMAPE、Huang Score、PHM/RUL 非对称惩罚 Score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RUL 指标单元测试</w:t>
            </w:r>
          </w:p>
        </w:tc>
      </w:tr>
      <w:tr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输出物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Style w:val="VerbatimChar"/>
                <w:rFonts w:ascii="宋体" w:hAnsi="宋体" w:eastAsia="宋体"/>
                <w:color w:val="000000"/>
                <w:sz w:val="21"/>
              </w:rPr>
              <w:t xml:space="preserve">history.csv</w:t>
            </w:r>
            <w:r>
              <w:rPr>
                <w:rFonts w:ascii="宋体" w:hAnsi="宋体" w:eastAsia="宋体"/>
                <w:color w:val="000000"/>
                <w:sz w:val="21"/>
              </w:rPr>
              <w:t xml:space="preserve">、</w:t>
            </w:r>
            <w:r>
              <w:rPr>
                <w:rStyle w:val="VerbatimChar"/>
                <w:rFonts w:ascii="宋体" w:hAnsi="宋体" w:eastAsia="宋体"/>
                <w:color w:val="000000"/>
                <w:sz w:val="21"/>
              </w:rPr>
              <w:t xml:space="preserve">metrics.json</w:t>
            </w:r>
            <w:r>
              <w:rPr>
                <w:rFonts w:ascii="宋体" w:hAnsi="宋体" w:eastAsia="宋体"/>
                <w:color w:val="000000"/>
                <w:sz w:val="21"/>
              </w:rPr>
              <w:t xml:space="preserve">、</w:t>
            </w:r>
            <w:r>
              <w:rPr>
                <w:rStyle w:val="VerbatimChar"/>
                <w:rFonts w:ascii="宋体" w:hAnsi="宋体" w:eastAsia="宋体"/>
                <w:color w:val="000000"/>
                <w:sz w:val="21"/>
              </w:rPr>
              <w:t xml:space="preserve">predictions.csv</w:t>
            </w:r>
            <w:r>
              <w:rPr>
                <w:rFonts w:ascii="宋体" w:hAnsi="宋体" w:eastAsia="宋体"/>
                <w:color w:val="000000"/>
                <w:sz w:val="21"/>
              </w:rPr>
              <w:t xml:space="preserve">、</w:t>
            </w:r>
            <w:r>
              <w:rPr>
                <w:rStyle w:val="VerbatimChar"/>
                <w:rFonts w:ascii="宋体" w:hAnsi="宋体" w:eastAsia="宋体"/>
                <w:color w:val="000000"/>
                <w:sz w:val="21"/>
              </w:rPr>
              <w:t xml:space="preserve">comparison_metrics.csv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集成测试和确认测试报告</w:t>
            </w:r>
          </w:p>
        </w:tc>
      </w:tr>
    </w:tbl>
    <w:bookmarkEnd w:id="34"/>
    <w:bookmarkStart w:id="35" w:name="结论"/>
    <w:p>
      <w:pPr>
        <w:pStyle w:val="Heading2"/>
      </w:pPr>
      <w:r>
        <w:rPr>
          <w:rFonts w:ascii="宋体" w:hAnsi="宋体" w:eastAsia="宋体"/>
          <w:color w:val="000000"/>
        </w:rPr>
        <w:t xml:space="preserve">9. 结论</w:t>
      </w:r>
    </w:p>
    <w:p>
      <w:pPr>
        <w:pStyle w:val="FirstParagraph"/>
        <w:spacing w:line="276" w:lineRule="auto" w:after="0"/>
        <w:ind w:firstLine="420"/>
      </w:pPr>
      <w:r>
        <w:rPr>
          <w:rFonts w:ascii="宋体" w:hAnsi="宋体" w:eastAsia="宋体"/>
          <w:color w:val="000000"/>
        </w:rPr>
        <w:t xml:space="preserve">本文档从用例、类关系、调用顺序、组件边界和部署方式五个角度说明了系统设计。整体设计以 RUL 预测主线为中心，将数据集差异收敛到 loader，将特征和标签构造独立成层，将训练、测试、评价和展示解耦，能够支撑课程要求的实现、测试、复现和文档交付。</w:t>
      </w:r>
    </w:p>
    <w:bookmarkEnd w:id="35"/>
    <w:bookmarkEnd w:id="36"/>
    <w:sectPr>
      <w:pgMar w:top="1440" w:bottom="1440" w:left="1797" w:right="1797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2c1ae401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411">
    <w:nsid w:val="ea454b4c"/>
    <w:multiLevelType w:val="multilevel"/>
    <w:lvl w:ilvl="0">
      <w:start w:val="1"/>
      <w:numFmt w:val="decimal"/>
      <w:lvlText w:val="%1."/>
      <w:lvlJc w:val="left"/>
      <w:pPr>
        <w:ind w:left="720" w:hanging="480"/>
      </w:pPr>
    </w:lvl>
    <w:lvl w:ilvl="1">
      <w:start w:val="1"/>
      <w:numFmt w:val="decimal"/>
      <w:lvlText w:val="%2."/>
      <w:lvlJc w:val="left"/>
      <w:pPr>
        <w:ind w:left="1440" w:hanging="480"/>
      </w:pPr>
    </w:lvl>
    <w:lvl w:ilvl="2">
      <w:start w:val="1"/>
      <w:numFmt w:val="decimal"/>
      <w:lvlText w:val="%3."/>
      <w:lvlJc w:val="left"/>
      <w:pPr>
        <w:ind w:left="2160" w:hanging="480"/>
      </w:pPr>
    </w:lvl>
    <w:lvl w:ilvl="3">
      <w:start w:val="1"/>
      <w:numFmt w:val="decimal"/>
      <w:lvlText w:val="%4."/>
      <w:lvlJc w:val="left"/>
      <w:pPr>
        <w:ind w:left="2880" w:hanging="480"/>
      </w:pPr>
    </w:lvl>
    <w:lvl w:ilvl="4">
      <w:start w:val="1"/>
      <w:numFmt w:val="decimal"/>
      <w:lvlText w:val="%5."/>
      <w:lvlJc w:val="left"/>
      <w:pPr>
        <w:ind w:left="3600" w:hanging="480"/>
      </w:pPr>
    </w:lvl>
    <w:lvl w:ilvl="5">
      <w:start w:val="1"/>
      <w:numFmt w:val="decimal"/>
      <w:lvlText w:val="%6."/>
      <w:lvlJc w:val="left"/>
      <w:pPr>
        <w:ind w:left="4320" w:hanging="480"/>
      </w:pPr>
    </w:lvl>
    <w:lvl w:ilvl="6">
      <w:start w:val="1"/>
      <w:numFmt w:val="decimal"/>
      <w:lvlText w:val="%7."/>
      <w:lvlJc w:val="left"/>
      <w:pPr>
        <w:ind w:left="5040" w:hanging="480"/>
      </w:pPr>
    </w:lvl>
    <w:lvl w:ilvl="7">
      <w:start w:val="1"/>
      <w:numFmt w:val="decimal"/>
      <w:lvlText w:val="%8."/>
      <w:lvlJc w:val="left"/>
      <w:pPr>
        <w:ind w:left="5760" w:hanging="480"/>
      </w:pPr>
    </w:lvl>
    <w:lvl w:ilvl="8">
      <w:start w:val="1"/>
      <w:numFmt w:val="decimal"/>
      <w:lvlText w:val="%9."/>
      <w:lvlJc w:val="left"/>
      <w:pPr>
        <w:ind w:left="6480" w:hanging="480"/>
      </w:p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90"/>
  <w:embedSystemFonts/>
  <w:proofState w:grammar="clean" w:spelling="clean"/>
  <w:stylePaneFormatFilter w:val="0004"/>
  <w:footnotePr>
    <w:footnote w:id="-1"/>
    <w:footnote w:id="0"/>
  </w:footnotePr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  <w:rsidRoot w:val="00590D07"/>
    <w:rsid w:val="00011C8B"/>
    <w:rsid w:val="004E29B3"/>
    <w:rsid w:val="00590D07"/>
    <w:rsid w:val="00784D58"/>
    <w:rsid w:val="008D6863"/>
    <w:rsid w:val="00B86B75"/>
    <w:rsid w:val="00BC48D5"/>
    <w:rsid w:val="00C36279"/>
    <w:rsid w:val="00E315A3"/>
  </w:rsids>
  <m:mathPr>
    <m:mathFont m:val="Lucida Grande"/>
    <m:brkBin m:val="before"/>
    <m:brkBinSub m:val="--"/>
    <m:smallFrac m:val="false"/>
    <m:dispDef m:val="false"/>
    <m:lMargin m:val="0"/>
    <m:rMargin m:val="0"/>
    <m:wrapRight/>
    <m:intLim m:val="subSup"/>
    <m:naryLim m:val="subSup"/>
  </m:mathPr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proofState w:grammar="clean" w:spelling="clean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  <w:rPr>
      <w:rFonts w:ascii="宋体" w:hAnsi="宋体" w:eastAsia="宋体"/>
      <w:color w:val="000000"/>
      <w:sz w:val="21"/>
    </w:rPr>
  </w:style>
  <w:style w:styleId="BodyText" w:type="paragraph">
    <w:name w:val="Body Text"/>
    <w:basedOn w:val="Normal"/>
    <w:link w:val="BodyTextChar"/>
    <w:pPr>
      <w:spacing w:after="180" w:before="180"/>
    </w:pPr>
    <w:qFormat/>
    <w:rPr>
      <w:rFonts w:ascii="宋体" w:hAnsi="宋体" w:eastAsia="宋体"/>
      <w:color w:val="000000"/>
      <w:sz w:val="21"/>
    </w:rPr>
  </w:style>
  <w:style w:customStyle="1" w:styleId="FirstParagraph" w:type="paragraph">
    <w:name w:val="First Paragraph"/>
    <w:basedOn w:val="BodyText"/>
    <w:next w:val="BodyText"/>
    <w:qFormat/>
    <w:rPr>
      <w:rFonts w:ascii="宋体" w:hAnsi="宋体" w:eastAsia="宋体"/>
      <w:color w:val="000000"/>
      <w:sz w:val="21"/>
    </w:rPr>
  </w:style>
  <w:style w:customStyle="1" w:styleId="Compact" w:type="paragraph">
    <w:name w:val="Compact"/>
    <w:basedOn w:val="BodyText"/>
    <w:qFormat/>
    <w:pPr>
      <w:spacing w:after="36" w:before="36"/>
    </w:pPr>
    <w:rPr>
      <w:rFonts w:ascii="宋体" w:hAnsi="宋体" w:eastAsia="宋体"/>
      <w:color w:val="000000"/>
      <w:sz w:val="21"/>
    </w:r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 w:ascii="黑体" w:hAnsi="黑体" w:eastAsia="黑体"/>
      <w:b/>
      <w:bCs/>
      <w:color w:val="000000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color w:val="000000"/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3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 w:ascii="宋体" w:hAnsi="宋体" w:eastAsia="宋体"/>
      <w:b/>
      <w:bCs/>
      <w:color w:val="000000"/>
      <w:sz w:val="48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 w:ascii="宋体" w:hAnsi="宋体" w:eastAsia="宋体"/>
      <w:b/>
      <w:bCs/>
      <w:color w:val="000000"/>
      <w:sz w:val="36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 w:ascii="宋体" w:hAnsi="宋体" w:eastAsia="宋体"/>
      <w:b/>
      <w:bCs/>
      <w:color w:val="000000"/>
      <w:sz w:val="27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 w:ascii="宋体" w:hAnsi="宋体" w:eastAsia="宋体"/>
      <w:i/>
      <w:b/>
      <w:bCs/>
      <w:color w:val="000000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 w:ascii="宋体" w:hAnsi="宋体" w:eastAsia="宋体"/>
      <w:b/>
      <w:iCs/>
      <w:color w:val="000000"/>
      <w:sz w:val="21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 w:ascii="宋体" w:hAnsi="宋体" w:eastAsia="宋体"/>
      <w:b/>
      <w:color w:val="000000"/>
      <w:sz w:val="21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 w:ascii="宋体" w:hAnsi="宋体" w:eastAsia="宋体"/>
      <w:b/>
      <w:color w:val="000000"/>
      <w:sz w:val="21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 w:ascii="宋体" w:hAnsi="宋体" w:eastAsia="宋体"/>
      <w:b/>
      <w:color w:val="000000"/>
      <w:sz w:val="21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 w:ascii="宋体" w:hAnsi="宋体" w:eastAsia="宋体"/>
      <w:b/>
      <w:color w:val="000000"/>
      <w:sz w:val="21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val="000000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val="000000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/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/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numbering" Target="numbering.xml"/><Relationship Id="rId2" Type="http://schemas.openxmlformats.org/officeDocument/2006/relationships/styles" Target="styles.xml"/><Relationship Id="rId3" Type="http://schemas.openxmlformats.org/officeDocument/2006/relationships/settings" Target="settings.xml"/><Relationship Id="rId4" Type="http://schemas.openxmlformats.org/officeDocument/2006/relationships/webSettings" Target="webSettings.xml"/><Relationship Id="rId5" Type="http://schemas.openxmlformats.org/officeDocument/2006/relationships/fontTable" Target="fontTable.xml"/><Relationship Id="rId6" Type="http://schemas.openxmlformats.org/officeDocument/2006/relationships/theme" Target="theme/theme1.xml"/><Relationship Id="rId7" Type="http://schemas.openxmlformats.org/officeDocument/2006/relationships/footnotes" Target="footnotes.xml"/><Relationship Id="rId8" Type="http://schemas.openxmlformats.org/officeDocument/2006/relationships/comments" Target="comments.xml"/><Relationship Id="rId26" Type="http://schemas.openxmlformats.org/officeDocument/2006/relationships/image" Target="media/rId26.png"/><Relationship Id="rId30" Type="http://schemas.openxmlformats.org/officeDocument/2006/relationships/image" Target="media/rId30.png"/><Relationship Id="rId32" Type="http://schemas.openxmlformats.org/officeDocument/2006/relationships/image" Target="media/rId32.png"/><Relationship Id="rId28" Type="http://schemas.openxmlformats.org/officeDocument/2006/relationships/image" Target="media/rId28.png"/><Relationship Id="rId24" Type="http://schemas.openxmlformats.org/officeDocument/2006/relationships/image" Target="media/rId24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12_UML设计文档</dc:title>
  <dc:creator>zyj、cyy、zdh、zy</dc:creator>
  <cp:keywords>RUL, 预测性维护, 工业轴承, 软件工程</cp:keywords>
  <dcterms:created xsi:type="dcterms:W3CDTF">2026-06-16T12:52:51Z</dcterms:created>
  <dcterms:modified xsi:type="dcterms:W3CDTF">2026-06-16T12:52:51Z</dcterms:modified>
  <dc:subject>工业轴承设备剩余寿命预测系统的实现课程交付文档</dc:subject>
  <dc:description>中国科学技术大学软件学院《软件工程》；由 Markdown 源文件生成 DOCX。</dc:description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