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轴承寿命预测与故障诊断系统：SRS规格说明文档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项目概述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用于健康/故障诊断复现。项目重点不是搭建在线工业平台，而是在本地工程环境中形成从数据接入、特征工程、模型训练、指标评估到文档交付的闭环证据链。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当前代码采用 Python 3.11、uv 包管理和 PyTorch 2.10 依赖范围。源码物理路径为 </w:t>
      </w:r>
      <w:r>
        <w:rPr>
          <w:rFonts w:ascii="Menlo" w:hAnsi="Menlo" w:eastAsia="Songti SC"/>
          <w:color w:val="000000"/>
          <w:sz w:val="20"/>
        </w:rPr>
        <w:t>src/USTC/SSE/BearingPrediction</w:t>
      </w:r>
      <w:r>
        <w:rPr>
          <w:rFonts w:ascii="Calibri" w:hAnsi="Calibri" w:eastAsia="Songti SC"/>
          <w:color w:val="000000"/>
          <w:sz w:val="22"/>
        </w:rPr>
        <w:t xml:space="preserve">，示例和 Notebook 中推荐通过 </w:t>
      </w:r>
      <w:r>
        <w:rPr>
          <w:rFonts w:ascii="Menlo" w:hAnsi="Menlo" w:eastAsia="Songti SC"/>
          <w:color w:val="000000"/>
          <w:sz w:val="20"/>
        </w:rPr>
        <w:t>from phm...</w:t>
      </w:r>
      <w:r>
        <w:rPr>
          <w:rFonts w:ascii="Calibri" w:hAnsi="Calibri" w:eastAsia="Songti SC"/>
          <w:color w:val="000000"/>
          <w:sz w:val="22"/>
        </w:rPr>
        <w:t xml:space="preserve"> 导入。数据路径通过 </w:t>
      </w:r>
      <w:r>
        <w:rPr>
          <w:rFonts w:ascii="Menlo" w:hAnsi="Menlo" w:eastAsia="Songti SC"/>
          <w:color w:val="000000"/>
          <w:sz w:val="20"/>
        </w:rPr>
        <w:t>data/loader_roots/phm2012</w:t>
      </w:r>
      <w:r>
        <w:rPr>
          <w:rFonts w:ascii="Calibri" w:hAnsi="Calibri" w:eastAsia="Songti SC"/>
          <w:color w:val="000000"/>
          <w:sz w:val="22"/>
        </w:rPr>
        <w:t xml:space="preserve"> 与 </w:t>
      </w:r>
      <w:r>
        <w:rPr>
          <w:rFonts w:ascii="Menlo" w:hAnsi="Menlo" w:eastAsia="Songti SC"/>
          <w:color w:val="000000"/>
          <w:sz w:val="20"/>
        </w:rPr>
        <w:t>data/loader_roots/xjtu</w:t>
      </w:r>
      <w:r>
        <w:rPr>
          <w:rFonts w:ascii="Calibri" w:hAnsi="Calibri" w:eastAsia="Songti SC"/>
          <w:color w:val="000000"/>
          <w:sz w:val="22"/>
        </w:rPr>
        <w:t xml:space="preserve"> 映射到本地外部数据集，避免硬编码个人磁盘路径。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需求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优先级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验收方式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FR-01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读取 PHM2012 与 XJTU-SY 数据集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高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Loader 测试与 Notebook 运行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FR-02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生成 FFT、时域、频域和频带能量特征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高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特征处理单元测试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FR-03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构造 RUL 标签与健康/故障标签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高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数据集样本 shape 与标签检查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FR-04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训练 CBAM-CNN-LSTM RUL 模型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高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输出 MSE、RMSE、MAE、R2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FR-05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训练 ResCNN-LSTM 故障诊断模型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高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输出 accuracy、F1、混淆矩阵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FR-06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支持 Notebook 可视化展示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中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生成特征图、曲线图、热力图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FR-07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支持缓存、日志和设备选择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中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训练日志和缓存路径检查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需求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约束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NFR-01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可复现性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Python 3.11、uv、`uv.lock` 固化依赖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NFR-02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可维护性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源码按 data、model、engine、util 分层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NFR-03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可测试性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单元、集成、确认测试均有文档与命令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NFR-04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可移植性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数据路径不写个人磁盘，统一使用 `data/loader_roots`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NFR-05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可解释性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输出指标图、特征图和混淆矩阵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需求追踪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需求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设计/实现位置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测试证据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FR-01/FR-02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`phm.data`、`phm.data.process`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`tests/test_feature_processors.py`、Notebook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`phm.model.paper.PaperCBAMCNNLSTMRegressor`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PHM2012 RUL Notebook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FR-05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`phm.model.paper.ResCNNLSTMClassifier`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XJTU-SY Fault Notebook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FR-06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`examples/3-papers`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`docx/img` 图表</w:t>
            </w:r>
          </w:p>
        </w:tc>
      </w:tr>
    </w:tbl>
    <w:p>
      <w:pPr>
        <w:spacing w:before="0" w:after="120" w:line="26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