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 w:line="264" w:lineRule="auto"/>
      </w:pPr>
      <w:r>
        <w:rPr>
          <w:rFonts w:ascii="Calibri" w:hAnsi="Calibri" w:eastAsia="Songti SC"/>
          <w:b/>
          <w:color w:val="000000"/>
          <w:sz w:val="40"/>
        </w:rPr>
        <w:t>轴承寿命预测与故障诊断系统：项目管理计划文档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项目名称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轴承寿命预测与故障诊断系统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小组成员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zyj、zdh、cyj、zy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组长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zyj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文档版本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v1.0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2026年6月</w:t>
            </w:r>
          </w:p>
        </w:tc>
      </w:tr>
    </w:tbl>
    <w:p>
      <w:pPr>
        <w:spacing w:before="0" w:after="120" w:line="264" w:lineRule="auto"/>
      </w:pPr>
    </w:p>
    <w:p>
      <w:pPr>
        <w:spacing w:before="320" w:after="160" w:line="264" w:lineRule="auto"/>
      </w:pPr>
      <w:r>
        <w:rPr>
          <w:rFonts w:ascii="Calibri" w:hAnsi="Calibri" w:eastAsia="Songti SC"/>
          <w:b/>
          <w:color w:val="2E74B5"/>
          <w:sz w:val="32"/>
        </w:rPr>
        <w:t>课程要求梳理</w:t>
      </w:r>
    </w:p>
    <w:p>
      <w:pPr>
        <w:spacing w:before="0" w:after="120" w:line="264" w:lineRule="auto"/>
      </w:pPr>
      <w:r>
        <w:rPr>
          <w:rFonts w:ascii="Calibri" w:hAnsi="Calibri" w:eastAsia="Songti SC"/>
          <w:color w:val="000000"/>
          <w:sz w:val="22"/>
        </w:rPr>
        <w:t>根据《工程实践各阶段要求》和《工程实践管理规范2025》，本项目按开题、中期、结题三个阶段组织材料。开题阶段需要完成技术预研、需求分析、SRS、确认测试计划和项目管理计划；中期阶段需要提交设计文档、单元测试计划、集成测试计划、编码规范、UML 设计和核心代码；结题阶段需要提交结题报告、测试报告、用户手册、安装配置手册、项目技术论文、源码和成员贡献说明。答辩材料需要服务于演示，不替代正文文档。</w:t>
      </w:r>
    </w:p>
    <w:p>
      <w:pPr>
        <w:spacing w:before="0" w:after="120" w:line="264" w:lineRule="auto"/>
      </w:pPr>
      <w:r>
        <w:rPr>
          <w:rFonts w:ascii="Calibri" w:hAnsi="Calibri" w:eastAsia="Songti SC"/>
          <w:color w:val="000000"/>
          <w:sz w:val="22"/>
        </w:rPr>
        <w:t xml:space="preserve">本仓库当前交付采用 </w:t>
      </w:r>
      <w:r>
        <w:rPr>
          <w:rFonts w:ascii="Menlo" w:hAnsi="Menlo" w:eastAsia="Songti SC"/>
          <w:color w:val="000000"/>
          <w:sz w:val="20"/>
        </w:rPr>
        <w:t>docx/md</w:t>
      </w:r>
      <w:r>
        <w:rPr>
          <w:rFonts w:ascii="Calibri" w:hAnsi="Calibri" w:eastAsia="Songti SC"/>
          <w:color w:val="000000"/>
          <w:sz w:val="22"/>
        </w:rPr>
        <w:t>、</w:t>
      </w:r>
      <w:r>
        <w:rPr>
          <w:rFonts w:ascii="Menlo" w:hAnsi="Menlo" w:eastAsia="Songti SC"/>
          <w:color w:val="000000"/>
          <w:sz w:val="20"/>
        </w:rPr>
        <w:t>docx/word</w:t>
      </w:r>
      <w:r>
        <w:rPr>
          <w:rFonts w:ascii="Calibri" w:hAnsi="Calibri" w:eastAsia="Songti SC"/>
          <w:color w:val="000000"/>
          <w:sz w:val="22"/>
        </w:rPr>
        <w:t>、</w:t>
      </w:r>
      <w:r>
        <w:rPr>
          <w:rFonts w:ascii="Menlo" w:hAnsi="Menlo" w:eastAsia="Songti SC"/>
          <w:color w:val="000000"/>
          <w:sz w:val="20"/>
        </w:rPr>
        <w:t>docx/pdf</w:t>
      </w:r>
      <w:r>
        <w:rPr>
          <w:rFonts w:ascii="Calibri" w:hAnsi="Calibri" w:eastAsia="Songti SC"/>
          <w:color w:val="000000"/>
          <w:sz w:val="22"/>
        </w:rPr>
        <w:t>、</w:t>
      </w:r>
      <w:r>
        <w:rPr>
          <w:rFonts w:ascii="Menlo" w:hAnsi="Menlo" w:eastAsia="Songti SC"/>
          <w:color w:val="000000"/>
          <w:sz w:val="20"/>
        </w:rPr>
        <w:t>docx/img</w:t>
      </w:r>
      <w:r>
        <w:rPr>
          <w:rFonts w:ascii="Calibri" w:hAnsi="Calibri" w:eastAsia="Songti SC"/>
          <w:color w:val="000000"/>
          <w:sz w:val="22"/>
        </w:rPr>
        <w:t xml:space="preserve"> 四类目录保存源文档、Word、PDF 和图表。代码托管使用 GitHub 仓库 </w:t>
      </w:r>
      <w:r>
        <w:rPr>
          <w:rFonts w:ascii="Menlo" w:hAnsi="Menlo" w:eastAsia="Songti SC"/>
          <w:color w:val="000000"/>
          <w:sz w:val="20"/>
        </w:rPr>
        <w:t>nev8r/phm</w:t>
      </w:r>
      <w:r>
        <w:rPr>
          <w:rFonts w:ascii="Calibri" w:hAnsi="Calibri" w:eastAsia="Songti SC"/>
          <w:color w:val="000000"/>
          <w:sz w:val="22"/>
        </w:rPr>
        <w:t xml:space="preserve"> 的 </w:t>
      </w:r>
      <w:r>
        <w:rPr>
          <w:rFonts w:ascii="Menlo" w:hAnsi="Menlo" w:eastAsia="Songti SC"/>
          <w:color w:val="000000"/>
          <w:sz w:val="20"/>
        </w:rPr>
        <w:t>phm2</w:t>
      </w:r>
      <w:r>
        <w:rPr>
          <w:rFonts w:ascii="Calibri" w:hAnsi="Calibri" w:eastAsia="Songti SC"/>
          <w:color w:val="000000"/>
          <w:sz w:val="22"/>
        </w:rPr>
        <w:t xml:space="preserve"> 分支，依赖与环境通过 </w:t>
      </w:r>
      <w:r>
        <w:rPr>
          <w:rFonts w:ascii="Menlo" w:hAnsi="Menlo" w:eastAsia="Songti SC"/>
          <w:color w:val="000000"/>
          <w:sz w:val="20"/>
        </w:rPr>
        <w:t>uv</w:t>
      </w:r>
      <w:r>
        <w:rPr>
          <w:rFonts w:ascii="Calibri" w:hAnsi="Calibri" w:eastAsia="Songti SC"/>
          <w:color w:val="000000"/>
          <w:sz w:val="22"/>
        </w:rPr>
        <w:t>、</w:t>
      </w:r>
      <w:r>
        <w:rPr>
          <w:rFonts w:ascii="Menlo" w:hAnsi="Menlo" w:eastAsia="Songti SC"/>
          <w:color w:val="000000"/>
          <w:sz w:val="20"/>
        </w:rPr>
        <w:t>.python-version</w:t>
      </w:r>
      <w:r>
        <w:rPr>
          <w:rFonts w:ascii="Calibri" w:hAnsi="Calibri" w:eastAsia="Songti SC"/>
          <w:color w:val="000000"/>
          <w:sz w:val="22"/>
        </w:rPr>
        <w:t>、</w:t>
      </w:r>
      <w:r>
        <w:rPr>
          <w:rFonts w:ascii="Menlo" w:hAnsi="Menlo" w:eastAsia="Songti SC"/>
          <w:color w:val="000000"/>
          <w:sz w:val="20"/>
        </w:rPr>
        <w:t>pyproject.toml</w:t>
      </w:r>
      <w:r>
        <w:rPr>
          <w:rFonts w:ascii="Calibri" w:hAnsi="Calibri" w:eastAsia="Songti SC"/>
          <w:color w:val="000000"/>
          <w:sz w:val="22"/>
        </w:rPr>
        <w:t xml:space="preserve"> 和 </w:t>
      </w:r>
      <w:r>
        <w:rPr>
          <w:rFonts w:ascii="Menlo" w:hAnsi="Menlo" w:eastAsia="Songti SC"/>
          <w:color w:val="000000"/>
          <w:sz w:val="20"/>
        </w:rPr>
        <w:t>uv.lock</w:t>
      </w:r>
      <w:r>
        <w:rPr>
          <w:rFonts w:ascii="Calibri" w:hAnsi="Calibri" w:eastAsia="Songti SC"/>
          <w:color w:val="000000"/>
          <w:sz w:val="22"/>
        </w:rPr>
        <w:t xml:space="preserve"> 固化。</w:t>
      </w:r>
    </w:p>
    <w:p>
      <w:pPr>
        <w:spacing w:before="320" w:after="160" w:line="264" w:lineRule="auto"/>
      </w:pPr>
      <w:r>
        <w:rPr>
          <w:rFonts w:ascii="Calibri" w:hAnsi="Calibri" w:eastAsia="Songti SC"/>
          <w:b/>
          <w:color w:val="2E74B5"/>
          <w:sz w:val="32"/>
        </w:rPr>
        <w:t>WBS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WBS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工作包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负责人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主要产出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1.1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数据接入与标签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cyj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PHM2012/XJTU Loader、标签构造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1.2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特征工程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cyj、zy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FFT、时域、频域、频带能量处理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1.3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模型实现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zyj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CBAM-CNN-LSTM、ResCNN-LSTM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1.4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训练与评估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zdh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Trainer、Tester、指标与回调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1.5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示例与可视化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zy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Notebook、图表、热力图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1.6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文档与答辩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全员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课程文档、技术论文、贡献说明</w:t>
            </w:r>
          </w:p>
        </w:tc>
      </w:tr>
    </w:tbl>
    <w:p>
      <w:pPr>
        <w:spacing w:before="0" w:after="120" w:line="264" w:lineRule="auto"/>
      </w:pPr>
    </w:p>
    <w:p>
      <w:pPr>
        <w:spacing w:before="320" w:after="160" w:line="264" w:lineRule="auto"/>
      </w:pPr>
      <w:r>
        <w:rPr>
          <w:rFonts w:ascii="Calibri" w:hAnsi="Calibri" w:eastAsia="Songti SC"/>
          <w:b/>
          <w:color w:val="2E74B5"/>
          <w:sz w:val="32"/>
        </w:rPr>
        <w:t>进度计划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时间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目标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开题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第1-2周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完成需求、预研、SRS、确认测试计划和项目计划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中期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第3-6周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完成核心代码、设计文档、测试计划和编码规范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结题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第7-8周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完成主线复现、测试报告、用户手册、技术论文和答辩材料</w:t>
            </w:r>
          </w:p>
        </w:tc>
      </w:tr>
    </w:tbl>
    <w:p>
      <w:pPr>
        <w:spacing w:before="0" w:after="120" w:line="264" w:lineRule="auto"/>
      </w:pPr>
    </w:p>
    <w:p>
      <w:pPr>
        <w:spacing w:before="320" w:after="160" w:line="264" w:lineRule="auto"/>
      </w:pPr>
      <w:r>
        <w:rPr>
          <w:rFonts w:ascii="Calibri" w:hAnsi="Calibri" w:eastAsia="Songti SC"/>
          <w:b/>
          <w:color w:val="2E74B5"/>
          <w:sz w:val="32"/>
        </w:rPr>
        <w:t>风险管理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风险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影响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应对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数据路径不一致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Notebook 无法运行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统一 `data/loader_roots`，禁止写个人磁盘绝对路径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本地算力不足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训练时间过长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先跑 RUL 主线，再跑故障诊断；保留 epoch 与指标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指标与论文差距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答辩解释困难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文档区分结构复现、本地复现和论文原始指标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依赖漂移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环境不可复现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使用 uv 与锁文件，安装配置手册写明版本</w:t>
            </w:r>
          </w:p>
        </w:tc>
      </w:tr>
    </w:tbl>
    <w:p>
      <w:pPr>
        <w:spacing w:before="0" w:after="12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Songti SC"/>
        <w:color w:val="595959"/>
        <w:sz w:val="18"/>
      </w:rPr>
      <w:t>USTC 软件工程实践课程交付文档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Songti SC"/>
        <w:color w:val="595959"/>
        <w:sz w:val="18"/>
      </w:rPr>
      <w:t>轴承寿命预测与故障诊断系统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