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轴承寿命预测与故障诊断系统：中期检查报告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项目概述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当前代码采用 Python 3.11、uv 包管理和 PyTorch 2.10 依赖范围。源码物理路径为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，示例和 Notebook 中推荐通过 </w:t>
      </w:r>
      <w:r>
        <w:rPr>
          <w:rFonts w:ascii="Menlo" w:hAnsi="Menlo" w:eastAsia="Songti SC"/>
          <w:color w:val="000000"/>
          <w:sz w:val="20"/>
        </w:rPr>
        <w:t>from phm...</w:t>
      </w:r>
      <w:r>
        <w:rPr>
          <w:rFonts w:ascii="Calibri" w:hAnsi="Calibri" w:eastAsia="Songti SC"/>
          <w:color w:val="000000"/>
          <w:sz w:val="22"/>
        </w:rPr>
        <w:t xml:space="preserve"> 导入。数据路径通过 </w:t>
      </w:r>
      <w:r>
        <w:rPr>
          <w:rFonts w:ascii="Menlo" w:hAnsi="Menlo" w:eastAsia="Songti SC"/>
          <w:color w:val="000000"/>
          <w:sz w:val="20"/>
        </w:rPr>
        <w:t>data/loader_roots/phm2012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data/loader_roots/xjtu</w:t>
      </w:r>
      <w:r>
        <w:rPr>
          <w:rFonts w:ascii="Calibri" w:hAnsi="Calibri" w:eastAsia="Songti SC"/>
          <w:color w:val="000000"/>
          <w:sz w:val="22"/>
        </w:rPr>
        <w:t xml:space="preserve"> 映射到本地外部数据集，避免硬编码个人磁盘路径。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已完成工作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完成情况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仓库结构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已统一为 `src/USTC/SSE/BearingPrediction`，通过 `phm` 暴露导入入口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环境管理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已切换 Python 3.11 与 uv，依赖包含 PyTorch 2.10、scikit-learn、TensorBoard、Jupyter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数据接入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已保留 PHM2012 与 XJTU-SY 两类轴承数据入口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示例迁移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demo 已迁移到 `examples`，以 Notebook 为主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主线模型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已实现 CBAM-CNN-LSTM 与 ResCNN-LSTM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测试基础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已建立特征、数据集、模型、trainer 和训练产物测试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遗留工作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中期后重点完成全量训练结果固化、课程文档统一重建、Word/PDF 导出、代码头部归属和最终答辩图表整理。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阶段风险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项目最大风险是数据量较大导致训练时间受限，因此后续只跑论文主线指标图，不扩展不必要的模型对比。文档中所有实验口径均标注输入特征、epoch、指标和数据划分。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