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轴承寿命预测与故障诊断系统：设计文档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总体架构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系统采用分层设计：</w:t>
      </w:r>
      <w:r>
        <w:rPr>
          <w:rFonts w:ascii="Menlo" w:hAnsi="Menlo" w:eastAsia="Songti SC"/>
          <w:color w:val="000000"/>
          <w:sz w:val="20"/>
        </w:rPr>
        <w:t>data</w:t>
      </w:r>
      <w:r>
        <w:rPr>
          <w:rFonts w:ascii="Calibri" w:hAnsi="Calibri" w:eastAsia="Songti SC"/>
          <w:color w:val="000000"/>
          <w:sz w:val="22"/>
        </w:rPr>
        <w:t xml:space="preserve"> 负责数据读取、实体抽象和标签；</w:t>
      </w:r>
      <w:r>
        <w:rPr>
          <w:rFonts w:ascii="Menlo" w:hAnsi="Menlo" w:eastAsia="Songti SC"/>
          <w:color w:val="000000"/>
          <w:sz w:val="20"/>
        </w:rPr>
        <w:t>data.process</w:t>
      </w:r>
      <w:r>
        <w:rPr>
          <w:rFonts w:ascii="Calibri" w:hAnsi="Calibri" w:eastAsia="Songti SC"/>
          <w:color w:val="000000"/>
          <w:sz w:val="22"/>
        </w:rPr>
        <w:t xml:space="preserve"> 负责信号特征工程；</w:t>
      </w:r>
      <w:r>
        <w:rPr>
          <w:rFonts w:ascii="Menlo" w:hAnsi="Menlo" w:eastAsia="Songti SC"/>
          <w:color w:val="000000"/>
          <w:sz w:val="20"/>
        </w:rPr>
        <w:t>model</w:t>
      </w:r>
      <w:r>
        <w:rPr>
          <w:rFonts w:ascii="Calibri" w:hAnsi="Calibri" w:eastAsia="Songti SC"/>
          <w:color w:val="000000"/>
          <w:sz w:val="22"/>
        </w:rPr>
        <w:t xml:space="preserve"> 负责神经网络结构；</w:t>
      </w:r>
      <w:r>
        <w:rPr>
          <w:rFonts w:ascii="Menlo" w:hAnsi="Menlo" w:eastAsia="Songti SC"/>
          <w:color w:val="000000"/>
          <w:sz w:val="20"/>
        </w:rPr>
        <w:t>engine</w:t>
      </w:r>
      <w:r>
        <w:rPr>
          <w:rFonts w:ascii="Calibri" w:hAnsi="Calibri" w:eastAsia="Songti SC"/>
          <w:color w:val="000000"/>
          <w:sz w:val="22"/>
        </w:rPr>
        <w:t xml:space="preserve"> 负责训练、评估、指标和回调；</w:t>
      </w:r>
      <w:r>
        <w:rPr>
          <w:rFonts w:ascii="Menlo" w:hAnsi="Menlo" w:eastAsia="Songti SC"/>
          <w:color w:val="000000"/>
          <w:sz w:val="20"/>
        </w:rPr>
        <w:t>util</w:t>
      </w:r>
      <w:r>
        <w:rPr>
          <w:rFonts w:ascii="Calibri" w:hAnsi="Calibri" w:eastAsia="Songti SC"/>
          <w:color w:val="000000"/>
          <w:sz w:val="22"/>
        </w:rPr>
        <w:t xml:space="preserve"> 负责日志、设备、缓存和图表辅助；</w:t>
      </w:r>
      <w:r>
        <w:rPr>
          <w:rFonts w:ascii="Menlo" w:hAnsi="Menlo" w:eastAsia="Songti SC"/>
          <w:color w:val="000000"/>
          <w:sz w:val="20"/>
        </w:rPr>
        <w:t>examples</w:t>
      </w:r>
      <w:r>
        <w:rPr>
          <w:rFonts w:ascii="Calibri" w:hAnsi="Calibri" w:eastAsia="Songti SC"/>
          <w:color w:val="000000"/>
          <w:sz w:val="22"/>
        </w:rPr>
        <w:t xml:space="preserve"> 负责 Notebook 复现实验。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 w:eastAsia="Songti SC"/>
          <w:color w:val="595959"/>
          <w:sz w:val="18"/>
        </w:rPr>
        <w:t>系统 UML 架构图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数据设计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PHM2012 与 XJTU-SY 的原始目录结构不同，但进入训练前统一为特征数组、标签数组、样本窗口和元数据。RUL 样本以相对寿命作为回归标签；故障诊断样本使用 3σ 首次越界点构造 Healthy/Faulty 标签。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4841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84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 w:eastAsia="Songti SC"/>
          <w:color w:val="595959"/>
          <w:sz w:val="18"/>
        </w:rPr>
        <w:t>数据流图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模型设计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CBAM-CNN-LSTM 使用卷积抽取局部频域形态，CBAM 对通道和时间位置加权，LSTM 聚合 32 个快照的退化序列，最后输出归一化 RUL。ResCNN-LSTM 使用残差卷积块处理 552 维特征序列，LSTM 聚合 8 个快照窗口，分类头输出健康/故障二分类 logits。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接口设计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层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主要接口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说明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数据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Loader、Dataset、Labeler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统一数据输入与标签构造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特征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Processor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所有处理器暴露 `run` 风格方法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模型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`forward(x)`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保持 PyTorch 标准接口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训练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Trainer/Tester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接收模型、数据、损失、指标和回调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示例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Notebook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使用 `from phm...` 作为公开导入方式</w:t>
            </w:r>
          </w:p>
        </w:tc>
      </w:tr>
    </w:tbl>
    <w:p>
      <w:pPr>
        <w:spacing w:before="0" w:after="120" w:line="26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