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轴承寿命预测与故障诊断系统：编码规范文档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目录与命名规范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源码放在 </w:t>
      </w:r>
      <w:r>
        <w:rPr>
          <w:rFonts w:ascii="Menlo" w:hAnsi="Menlo" w:eastAsia="Songti SC"/>
          <w:color w:val="000000"/>
          <w:sz w:val="20"/>
        </w:rPr>
        <w:t>src/USTC/SSE/BearingPrediction</w:t>
      </w:r>
      <w:r>
        <w:rPr>
          <w:rFonts w:ascii="Calibri" w:hAnsi="Calibri" w:eastAsia="Songti SC"/>
          <w:color w:val="000000"/>
          <w:sz w:val="22"/>
        </w:rPr>
        <w:t xml:space="preserve">，示例中通过 </w:t>
      </w:r>
      <w:r>
        <w:rPr>
          <w:rFonts w:ascii="Menlo" w:hAnsi="Menlo" w:eastAsia="Songti SC"/>
          <w:color w:val="000000"/>
          <w:sz w:val="20"/>
        </w:rPr>
        <w:t>phm</w:t>
      </w:r>
      <w:r>
        <w:rPr>
          <w:rFonts w:ascii="Calibri" w:hAnsi="Calibri" w:eastAsia="Songti SC"/>
          <w:color w:val="000000"/>
          <w:sz w:val="22"/>
        </w:rPr>
        <w:t xml:space="preserve"> 导入。模块按职责分为 </w:t>
      </w:r>
      <w:r>
        <w:rPr>
          <w:rFonts w:ascii="Menlo" w:hAnsi="Menlo" w:eastAsia="Songti SC"/>
          <w:color w:val="000000"/>
          <w:sz w:val="20"/>
        </w:rPr>
        <w:t>data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model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engine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util</w:t>
      </w:r>
      <w:r>
        <w:rPr>
          <w:rFonts w:ascii="Calibri" w:hAnsi="Calibri" w:eastAsia="Songti SC"/>
          <w:color w:val="000000"/>
          <w:sz w:val="22"/>
        </w:rPr>
        <w:t xml:space="preserve">，测试放在 </w:t>
      </w:r>
      <w:r>
        <w:rPr>
          <w:rFonts w:ascii="Menlo" w:hAnsi="Menlo" w:eastAsia="Songti SC"/>
          <w:color w:val="000000"/>
          <w:sz w:val="20"/>
        </w:rPr>
        <w:t>tests</w:t>
      </w:r>
      <w:r>
        <w:rPr>
          <w:rFonts w:ascii="Calibri" w:hAnsi="Calibri" w:eastAsia="Songti SC"/>
          <w:color w:val="000000"/>
          <w:sz w:val="22"/>
        </w:rPr>
        <w:t xml:space="preserve">，Notebook 放在 </w:t>
      </w:r>
      <w:r>
        <w:rPr>
          <w:rFonts w:ascii="Menlo" w:hAnsi="Menlo" w:eastAsia="Songti SC"/>
          <w:color w:val="000000"/>
          <w:sz w:val="20"/>
        </w:rPr>
        <w:t>examples</w:t>
      </w:r>
      <w:r>
        <w:rPr>
          <w:rFonts w:ascii="Calibri" w:hAnsi="Calibri" w:eastAsia="Songti SC"/>
          <w:color w:val="000000"/>
          <w:sz w:val="22"/>
        </w:rPr>
        <w:t xml:space="preserve">，课程文档放在 </w:t>
      </w:r>
      <w:r>
        <w:rPr>
          <w:rFonts w:ascii="Menlo" w:hAnsi="Menlo" w:eastAsia="Songti SC"/>
          <w:color w:val="000000"/>
          <w:sz w:val="20"/>
        </w:rPr>
        <w:t>docx</w:t>
      </w:r>
      <w:r>
        <w:rPr>
          <w:rFonts w:ascii="Calibri" w:hAnsi="Calibri" w:eastAsia="Songti SC"/>
          <w:color w:val="000000"/>
          <w:sz w:val="22"/>
        </w:rPr>
        <w:t>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导入规范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Notebook、用户手册和演示代码推荐使用：</w:t>
      </w:r>
    </w:p>
    <w:p>
      <w:pPr>
        <w:spacing w:before="0" w:after="0" w:line="240" w:lineRule="auto"/>
      </w:pPr>
      <w:r>
        <w:rPr>
          <w:rFonts w:ascii="Menlo" w:hAnsi="Menlo" w:eastAsia="Songti SC"/>
          <w:color w:val="000000"/>
          <w:sz w:val="18"/>
        </w:rPr>
        <w:t>from phm.data.loader.PHM2012Loader import PHM2012Loader</w:t>
      </w:r>
    </w:p>
    <w:p>
      <w:pPr>
        <w:spacing w:before="0" w:after="0" w:line="240" w:lineRule="auto"/>
      </w:pPr>
      <w:r>
        <w:rPr>
          <w:rFonts w:ascii="Menlo" w:hAnsi="Menlo" w:eastAsia="Songti SC"/>
          <w:color w:val="000000"/>
          <w:sz w:val="18"/>
        </w:rPr>
        <w:t>from phm.model.paper import PaperCBAMCNNLSTMRegressor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内部历史路径 </w:t>
      </w:r>
      <w:r>
        <w:rPr>
          <w:rFonts w:ascii="Menlo" w:hAnsi="Menlo" w:eastAsia="Songti SC"/>
          <w:color w:val="000000"/>
          <w:sz w:val="20"/>
        </w:rPr>
        <w:t>USTC.SSE.BearingPrediction</w:t>
      </w:r>
      <w:r>
        <w:rPr>
          <w:rFonts w:ascii="Calibri" w:hAnsi="Calibri" w:eastAsia="Songti SC"/>
          <w:color w:val="000000"/>
          <w:sz w:val="22"/>
        </w:rPr>
        <w:t xml:space="preserve"> 作为物理包路径保留，不在示例中作为首选导入方式。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文件头规范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所有 </w:t>
      </w:r>
      <w:r>
        <w:rPr>
          <w:rFonts w:ascii="Menlo" w:hAnsi="Menlo" w:eastAsia="Songti SC"/>
          <w:color w:val="000000"/>
          <w:sz w:val="20"/>
        </w:rPr>
        <w:t>src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tests</w:t>
      </w:r>
      <w:r>
        <w:rPr>
          <w:rFonts w:ascii="Calibri" w:hAnsi="Calibri" w:eastAsia="Songti SC"/>
          <w:color w:val="000000"/>
          <w:sz w:val="22"/>
        </w:rPr>
        <w:t xml:space="preserve"> 下 Python 文件使用统一模块 docstring，包含模块用途、文件说明、创建者、版权和年份。作者分配为：</w:t>
      </w:r>
      <w:r>
        <w:rPr>
          <w:rFonts w:ascii="Menlo" w:hAnsi="Menlo" w:eastAsia="Songti SC"/>
          <w:color w:val="000000"/>
          <w:sz w:val="20"/>
        </w:rPr>
        <w:t>data/**</w:t>
      </w:r>
      <w:r>
        <w:rPr>
          <w:rFonts w:ascii="Calibri" w:hAnsi="Calibri" w:eastAsia="Songti SC"/>
          <w:color w:val="000000"/>
          <w:sz w:val="22"/>
        </w:rPr>
        <w:t xml:space="preserve"> 由 cyj，</w:t>
      </w:r>
      <w:r>
        <w:rPr>
          <w:rFonts w:ascii="Menlo" w:hAnsi="Menlo" w:eastAsia="Songti SC"/>
          <w:color w:val="000000"/>
          <w:sz w:val="20"/>
        </w:rPr>
        <w:t>engine/**</w:t>
      </w:r>
      <w:r>
        <w:rPr>
          <w:rFonts w:ascii="Calibri" w:hAnsi="Calibri" w:eastAsia="Songti SC"/>
          <w:color w:val="000000"/>
          <w:sz w:val="22"/>
        </w:rPr>
        <w:t xml:space="preserve"> 由 zdh，</w:t>
      </w:r>
      <w:r>
        <w:rPr>
          <w:rFonts w:ascii="Menlo" w:hAnsi="Menlo" w:eastAsia="Songti SC"/>
          <w:color w:val="000000"/>
          <w:sz w:val="20"/>
        </w:rPr>
        <w:t>model/**</w:t>
      </w:r>
      <w:r>
        <w:rPr>
          <w:rFonts w:ascii="Calibri" w:hAnsi="Calibri" w:eastAsia="Songti SC"/>
          <w:color w:val="000000"/>
          <w:sz w:val="22"/>
        </w:rPr>
        <w:t xml:space="preserve"> 和包入口由 zyj，</w:t>
      </w:r>
      <w:r>
        <w:rPr>
          <w:rFonts w:ascii="Menlo" w:hAnsi="Menlo" w:eastAsia="Songti SC"/>
          <w:color w:val="000000"/>
          <w:sz w:val="20"/>
        </w:rPr>
        <w:t>util/**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tests/**</w:t>
      </w:r>
      <w:r>
        <w:rPr>
          <w:rFonts w:ascii="Calibri" w:hAnsi="Calibri" w:eastAsia="Songti SC"/>
          <w:color w:val="000000"/>
          <w:sz w:val="22"/>
        </w:rPr>
        <w:t xml:space="preserve"> 由 zy。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代码风格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Python 版本固定为 3.11。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包管理使用 uv，不再混用 pipenv、poetry 或 requirements 手工安装流程。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路径使用 `pathlib.Path`，不得硬编码个人磁盘路径。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设备选择通过工具函数或显式配置处理，Notebook 中需说明 CPU/MPS/CUDA 的差异。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大数据、缓存、训练产物不进入源码包；文档只引用必要指标和图表。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