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轴承寿命预测与故障诊断系统：用户使用手册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使用流程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准备 Python 3.11 与 uv。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在项目根目录执行 `uv sync`。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确认 `data/loader_roots/phm2012` 和 `data/loader_roots/xjtu` 能访问真实数据。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启动 Jupyter 或 IDE，打开 `examples/3-papers` 下的 Notebook。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先运行 PHM2012 RUL 主线，再运行 XJTU-SY 故障诊断主线。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查看 Notebook 输出的指标表、特征图、训练曲线和混淆矩阵。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常用入口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入口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用途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`examples/3-papers/PHM2012_RUL_CBAM_CNN_LSTM.ipynb`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PHM2012 RUL 论文主线复现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`examples/3-papers/XJTU_Fault_CNN_LSTM.ipynb`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XJTU-SY 故障诊断论文主线复现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`tests/`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单元与集成测试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`docx/`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课程交付文档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输出解读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RUL 指标中 MSE、RMSE、MAE 越低越好，R2 越接近 1 越好。故障诊断指标中 accuracy 反映整体分类正确率，macro-F1 更关注类别均衡表现，混淆矩阵用于观察健康样本和故障样本是否互相误判。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