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按新版 16 页网页 PPT 重写汇报语气、论文复现和指标边界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  <w:color w:val="000000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本讲稿对应新版 16 页网页 PPT。正式汇报建议控制在 9-11 分钟，讲述重点是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真实数据理解、特征分析、工程实现、论文复现、测试验收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。汇报时应保持课程项目口吻，讲清完成、验证、边界和不足。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各位老师、同学好，我们小组汇报的题目是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和交付内容"/>
    <w:p>
      <w:pPr>
        <w:pStyle w:val="Heading2"/>
      </w:pPr>
      <w:r>
        <w:rPr>
          <w:rFonts w:ascii="宋体" w:hAnsi="宋体" w:eastAsia="宋体"/>
          <w:color w:val="000000"/>
        </w:rPr>
        <w:t xml:space="preserve">第 2 页：项目目标和交付内容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我们不是一上来先讲模型，而是按照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问题、数据、特征、系统、实验、验收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这页里的内容对应项目交付：两个真实数据集，19 维特征，两篇 RUL 论文复现，39 个全量自动化测试和 8 个 notebook 示例。</w:t>
      </w:r>
    </w:p>
    <w:bookmarkEnd w:id="24"/>
    <w:bookmarkStart w:id="25" w:name="第-3-页任务定义预测剩余寿命"/>
    <w:p>
      <w:pPr>
        <w:pStyle w:val="Heading2"/>
      </w:pPr>
      <w:r>
        <w:rPr>
          <w:rFonts w:ascii="宋体" w:hAnsi="宋体" w:eastAsia="宋体"/>
          <w:color w:val="000000"/>
        </w:rPr>
        <w:t xml:space="preserve">第 3 页：任务定义：预测剩余寿命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所以本项目的输入是轴承运行过程中的水平、垂直振动快照，输出是连续的 RUL 数值，同时配套健康趋势曲线和误差指标。本次答辩主线始终是 RUL 回归预测。生存分析和失效概率分析在系统中保留为扩展接口，但不作为本轮结题的主验收路线。</w:t>
      </w:r>
    </w:p>
    <w:bookmarkEnd w:id="25"/>
    <w:bookmarkStart w:id="26" w:name="第-4-页两个数据集记录的是轴承全寿命退化轨迹"/>
    <w:p>
      <w:pPr>
        <w:pStyle w:val="Heading2"/>
      </w:pPr>
      <w:r>
        <w:rPr>
          <w:rFonts w:ascii="宋体" w:hAnsi="宋体" w:eastAsia="宋体"/>
          <w:color w:val="000000"/>
        </w:rPr>
        <w:t xml:space="preserve">第 4 页：两个数据集记录的是轴承全寿命退化轨迹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数据上我们主要使用两个真实退化数据集：XJTU-SY 和 PHM2012/FEMTO。它们都能反映轴承从早期运行到后期退化的过程，但采样节奏和标签来源不一样。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有三种工况、十五个轴承，采样率是 25.6 kHz。每个振动快照有 32768 个点，大约覆盖 1.28 秒，相邻快照间隔约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这里的关键是：每个振动快照不是孤立样本，而是同一轴承在某一时刻的采样记录。系统必须保留采集先后、采样间隔、RUL 单位和 PHM2012 的 split 信息。只有这些信息统一之后，后面的特征和模型才能共用同一套流程。</w:t>
      </w:r>
    </w:p>
    <w:bookmarkEnd w:id="26"/>
    <w:bookmarkStart w:id="27" w:name="第-5-页xjtu-sy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第 5 页：XJTU-SY 特征观察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从图上可以看到，早期曲线比较平稳，寿命后段 RMS 和峰值明显抬升。按提交的多轴承摘要统计，Bearing1_1 的抽样首末 RMS 从大约 0.617 上升到 4.080，说明振动强度在寿命后期明显增强。图里的 Health indicator 是把 RMS、峭度、峰值因子和谱能量标准化后合成的，用来辅助观察整体变化。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这个现象对建模有一个直接影响：训练和测试划分必须尊重快照先后。如果把相邻时间窗口随机打散，测试结果就可能偏乐观。</w:t>
      </w:r>
    </w:p>
    <w:bookmarkEnd w:id="27"/>
    <w:bookmarkStart w:id="28" w:name="第-6-页phm2012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第 6 页：PHM2012 特征观察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的曲线也能看到后期振动增强。按提交的多轴承摘要统计，Bearing1_1 的抽样首末 RMS 从大约 0.428 上升到 2.068。这里的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所以两个数据集的处理重点不同：XJTU-SY 主要关注完整寿命记录和分钟级快照间隔，PHM2012 还要处理 Learning_set、Test_set 和温度文件。系统先在 loader 里整理采样时间、振动通道和 RUL 标签单位，后面的模型才可以共用同一套训练流程。</w:t>
      </w:r>
    </w:p>
    <w:bookmarkEnd w:id="28"/>
    <w:bookmarkStart w:id="29" w:name="第-7-页多轴承统计用于验证特征趋势"/>
    <w:p>
      <w:pPr>
        <w:pStyle w:val="Heading2"/>
      </w:pPr>
      <w:r>
        <w:rPr>
          <w:rFonts w:ascii="宋体" w:hAnsi="宋体" w:eastAsia="宋体"/>
          <w:color w:val="000000"/>
        </w:rPr>
        <w:t xml:space="preserve">第 7 页：多轴承统计用于验证特征趋势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前两页展示的是代表轴承曲线，这一页补充多轴承统计摘要。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我们从 XJTU-SY 和 PHM2012 中各选取多个代表轴承，每个轴承抽样 80 个快照，比较早期和后期 RMS。XJTU-SY 的几个代表轴承后期 RMS 均明显高于早期，放大倍数大约在 2.72 到 5.60 之间。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也能看到后期增强，但不同轴承差异更大，短序列中趋势不一定完全单调。答辩中展示两条代表曲线，是为了说明特征含义；多轴承摘要则说明我们检查了不同工况和不同轴承，而不是只依赖单个样本。</w:t>
      </w:r>
    </w:p>
    <w:bookmarkEnd w:id="29"/>
    <w:bookmarkStart w:id="30" w:name="第-8-页19-维特征覆盖强度冲击和频谱"/>
    <w:p>
      <w:pPr>
        <w:pStyle w:val="Heading2"/>
      </w:pPr>
      <w:r>
        <w:rPr>
          <w:rFonts w:ascii="宋体" w:hAnsi="宋体" w:eastAsia="宋体"/>
          <w:color w:val="000000"/>
        </w:rPr>
        <w:t xml:space="preserve">第 8 页：19 维特征覆盖强度、冲击和频谱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 19 维特征按含义可以分成四类。第一类是强度特征，比如 RMS、峰值、峰峰值和谱能量，用来看振动强度是否增强。第二类是冲击变化相关特征，比如峭度、峰值因子、脉冲因子和裕度因子，对后期尖峰和波动更敏感。第三类是稳定性特征，比如均值、方差、标准差和偏度，用来描述整体波动和分布偏移。第四类是频谱特征，比如主频、谱质心、谱均方根频率和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这些特征是我们在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里用 NumPy 和 FFT 实现的，不是直接调用自动特征提取库生成。图里的 Health indicator 也不是 19 维简单平均，而是选取 RMS、峭度、峰值因子和谱能量标准化后合成，用来辅助观察退化趋势。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生成特征之后，我们再按快照先后把多个快照组成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</w:t>
      </w:r>
    </w:p>
    <w:bookmarkEnd w:id="30"/>
    <w:bookmarkStart w:id="31" w:name="第-9-页系统按数据特征模型和评价分层"/>
    <w:p>
      <w:pPr>
        <w:pStyle w:val="Heading2"/>
      </w:pPr>
      <w:r>
        <w:rPr>
          <w:rFonts w:ascii="宋体" w:hAnsi="宋体" w:eastAsia="宋体"/>
          <w:color w:val="000000"/>
        </w:rPr>
        <w:t xml:space="preserve">第 9 页：系统按数据、特征、模型和评价分层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系统结构上，我们按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数据怎么进入系统、怎么变成特征、怎么训练、怎么输出证据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来组织模块。这不是为了把图画复杂，而是为了让每一步的责任清楚。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第一层是数据接入，负责读取 XJTU-SY 和 PHM2012，并整理工况、采样率、通道和快照先后。第二层是特征与标签，负责提取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主要作为示例运行和论文复现实验入口。</w:t>
      </w:r>
    </w:p>
    <w:bookmarkEnd w:id="31"/>
    <w:bookmarkStart w:id="32" w:name="第-10-页难点一先把两个数据集整理成统一样本表"/>
    <w:p>
      <w:pPr>
        <w:pStyle w:val="Heading2"/>
      </w:pPr>
      <w:r>
        <w:rPr>
          <w:rFonts w:ascii="宋体" w:hAnsi="宋体" w:eastAsia="宋体"/>
          <w:color w:val="000000"/>
        </w:rPr>
        <w:t xml:space="preserve">第 10 页：难点一：先把两个数据集整理成统一样本表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第一个实现难点是两个数据集的格式和时间含义并不一致。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我们的处理方式是先在 loader 中统一时间、通道和标签语义。loader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另外，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不是简单截取前几个文件，而是在读文件前做均匀抽样，用来控制课程项目的训练时间，同时保留早期、中期和后期片段。</w:t>
      </w:r>
    </w:p>
    <w:bookmarkEnd w:id="32"/>
    <w:bookmarkStart w:id="33" w:name="第-11-页难点二模型输入是一段连续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第 11 页：难点二：模型输入是一段连续特征序列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第二个难点是如何把长振动信号变成模型能稳定学习的输入，而且不丢掉快照之间的先后关系。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这样做有两个好处。第一，特征有明确物理含义，答辩时可以解释；第二，特征序列保留了快照之间的先后关系，模型可以利用一段时间内的变化，而不是只看单个快照。</w:t>
      </w:r>
    </w:p>
    <w:bookmarkEnd w:id="33"/>
    <w:bookmarkStart w:id="34" w:name="第-12-页论文选择看数据模型和指标是否能对齐"/>
    <w:p>
      <w:pPr>
        <w:pStyle w:val="Heading2"/>
      </w:pPr>
      <w:r>
        <w:rPr>
          <w:rFonts w:ascii="宋体" w:hAnsi="宋体" w:eastAsia="宋体"/>
          <w:color w:val="000000"/>
        </w:rPr>
        <w:t xml:space="preserve">第 12 页：论文选择看数据、模型和指标是否能对齐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论文复现不是随便找两个模型名放进来，我们主要看三个条件：数据集是否匹配、结构是否能在本项目中实现、指标是否能复查。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Huang 等 2024 年 CNN-LSTM-AM，使用时域和频域特征，模型结构是 CNN、LSTM 和 attention，论文还给出了 Score 公式。因此它适合验证我们的 19 维特征、attention 模型和 RUL 指标实现。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Jiang 等 2026 年 xLSTM-Transformer，同时覆盖 XJTU-SY 和 PHM2012，并公开了工况划分、序列长度、训练参数和 RMSE/R2/Score 指标。因此它适合作为第二篇同规格复现，验证项目在跨数据集和跨工况设置下的 workflow。</w:t>
      </w:r>
    </w:p>
    <w:bookmarkEnd w:id="34"/>
    <w:bookmarkStart w:id="35" w:name="第-13-页复现实验对齐输入划分模型和指标"/>
    <w:p>
      <w:pPr>
        <w:pStyle w:val="Heading2"/>
      </w:pPr>
      <w:r>
        <w:rPr>
          <w:rFonts w:ascii="宋体" w:hAnsi="宋体" w:eastAsia="宋体"/>
          <w:color w:val="000000"/>
        </w:rPr>
        <w:t xml:space="preserve">第 13 页：复现实验对齐输入、划分、模型和指标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具体复现时，我们对齐的是论文输入组织、模型结构、baseline、划分和指标口径。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第一步，优先从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读取真实 XJTU-SY 和 PHM2012 数据。第二步，每个快照提取 19 维特征，再按快照先后组成特征序列。第三步，训练主模型：CNN-LSTM-AM 和 XLSTM-Transformer。第四步，训练对应 baseline：CNN-LSTM、Feature-Transformer 和 LSTM-Transformer。第五步，输出 RMSE、NormalizedRMSE、R2、Huang Score 和 PHM Score。最后，保存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作为证据。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这里需要说明边界：我们的正式复现已经使用真实数据训练 50 epoch，并输出论文指标 gap；但受本机算力限制，每轴承采用 96 个按时间均匀抽样快照，不声明作者源码级或全量训练数值完全一致。</w:t>
      </w:r>
    </w:p>
    <w:bookmarkEnd w:id="35"/>
    <w:bookmarkStart w:id="36" w:name="第-14-页先说明指标口径再看结果差距"/>
    <w:p>
      <w:pPr>
        <w:pStyle w:val="Heading2"/>
      </w:pPr>
      <w:r>
        <w:rPr>
          <w:rFonts w:ascii="宋体" w:hAnsi="宋体" w:eastAsia="宋体"/>
          <w:color w:val="000000"/>
        </w:rPr>
        <w:t xml:space="preserve">第 14 页：先说明指标口径，再看结果差距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表格里列的是两个复现实验中的代表性结果，统一按 Normalized RMSE 展示。CNN-LSTM-AM 在 XJTU-SY 为 0.146543，PHM2012 为 0.222228；在加入快照时间位置特征后的 xLSTM-Transformer 实验中，XJTU-SY Condition 1 为 0.064558、R2 为 0.950555，PHM2012 Condition 3 为 0.107630、R2 为 0.863951。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这些结果主要用于说明训练、评价和输出文件可以回查，并且不同指标口径没有混用。实验规模上，两篇复现均采用每轴承 96 个按时间均匀抽样快照、relative RUL 目标和 50 epoch 训练。Huang 复现中，XJTU-SY 的 CNN-LSTM-AM normalized RMSE 为 0.146543，接近论文 0.162；PHM2012 为 0.222228，仍高于论文 0.152。Jiang 复现中，XJTU-SY condition 1、XJTU-SY condition 3 和 PHM2012 condition 3 的 RMSE/R2 已接近论文量级，但 PHM2012 condition 2 的 normalized RMSE 为 0.3742、R2 为 -0.6439，Score 尺度也仍有明显差距，所以这部分是后续继续调参和扩大训练规模的边界。</w:t>
      </w:r>
    </w:p>
    <w:bookmarkEnd w:id="36"/>
    <w:bookmarkStart w:id="37" w:name="第-15-页验收依据是测试输出和文档"/>
    <w:p>
      <w:pPr>
        <w:pStyle w:val="Heading2"/>
      </w:pPr>
      <w:r>
        <w:rPr>
          <w:rFonts w:ascii="宋体" w:hAnsi="宋体" w:eastAsia="宋体"/>
          <w:color w:val="000000"/>
        </w:rPr>
        <w:t xml:space="preserve">第 15 页：验收依据是测试、输出和文档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第一，全量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通过，当前是 39 个测试，覆盖 loader、特征提取、标签生成、模型 forward、评价指标、论文 workflow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第二，examples 下的 8 个 notebook 由 notebook 测试用例逐个执行，不只是检查文件是否存在。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第三，两篇论文复现都读取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下的真实数据，并落盘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所以这个项目的验收不只看展示页，还可以从代码、实验输出和文档三方面回查证据。</w:t>
      </w:r>
    </w:p>
    <w:bookmarkEnd w:id="37"/>
    <w:bookmarkStart w:id="38" w:name="第-16-页完成内容限制和下一步"/>
    <w:p>
      <w:pPr>
        <w:pStyle w:val="Heading2"/>
      </w:pPr>
      <w:r>
        <w:rPr>
          <w:rFonts w:ascii="宋体" w:hAnsi="宋体" w:eastAsia="宋体"/>
          <w:color w:val="000000"/>
        </w:rPr>
        <w:t xml:space="preserve">第 16 页：完成内容、限制和下一步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最后说明成果、边界和后续。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不足方面，当前 notebook 保留轻量 smoke 验证，正式复现实验采用 50 epoch 训练，但仍然是每轴承 96 快照抽样，没有做多随机种子统计，也没有充分展开跨工况调参。PHM2012 里的温度信息目前保留在接口中，后续可以进一步融合。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总结来说，我们形成了三条可以复查的链路：第一，从真实数据文件到统一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；第二，从振动快照到 19 维特征、RUL 标签和模型输入；第三，从真实训练到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、指标表、测试报告和答辩材料。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边界上，我们不把每轴承 96 快照的本地结果解释成作者源码级最终性能，也不声明完整全量复刻。后续如果继续做，重点是扩大真实训练规模、补充多随机种子、加入温度特征，并做更充分的跨工况验证。我的汇报到这里，谢谢老师和同学，欢迎提问。</w:t>
      </w:r>
    </w:p>
    <w:bookmarkEnd w:id="38"/>
    <w:bookmarkStart w:id="48" w:name="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备答补充</w:t>
      </w:r>
    </w:p>
    <w:bookmarkStart w:id="39" w:name="如果问为什么不直接输入原始信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为什么不直接输入原始信号？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可以回答：原始信号快照较长，XJTU-SY 每个快照有 32768 个点，PHM2012 每个快照有 2560 个点。课程项目需要稳定复现和可解释分析，所以先提取 19 维时频域特征，再按快照先后组织成序列。</w:t>
      </w:r>
    </w:p>
    <w:bookmarkEnd w:id="39"/>
    <w:bookmarkStart w:id="40" w:name="如果问有没有做细致的数据分析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有没有做细致的数据分析？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可以回答：有。答辩中展示了 XJTU-SY Bearing1_1 和 PHM2012 Bearing1_1 的真实特征曲线，也补充了多轴承特征摘要图。摘要不是只看 RMS，还比较了峰值、峭度、峰值因子、谱能量和谱熵；统计口径是每个轴承均匀抽样 80 个快照，前 20% 与后 20% 对比。图表均标注了数据集、轴承编号、通道、工况、抽样数量和时间单位。</w:t>
      </w:r>
    </w:p>
    <w:bookmarkEnd w:id="40"/>
    <w:bookmarkStart w:id="41" w:name="如果问19-维特征有没有详细实现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19 维特征有没有详细实现？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可以回答：有。14 个时域特征包括均值、方差、标准差、RMS、峰值、峰峰值、绝对均值、形状因子、峰值因子、脉冲因子、裕度因子、间隙因子、峭度和偏度；5 个频域特征包括主频、谱能量、谱质心、谱均方根频率和谱熵。它们在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feature/engineering.py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中实现，并有特征数量和字段名测试。当前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使用同一公式，是为了保留论文特征名兼容性，不单独解释成两个不同物理量。</w:t>
      </w:r>
    </w:p>
    <w:bookmarkEnd w:id="41"/>
    <w:bookmarkStart w:id="42" w:name="如果问如何避免数据泄漏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如何避免数据泄漏？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可以回答：RUL 是时间相关目标，不能把相邻时间窗口随机混到训练和测试。复现实验按轴承或论文工况划分，特征序列保持快照先后。</w:t>
      </w:r>
    </w:p>
    <w:bookmarkEnd w:id="42"/>
    <w:bookmarkStart w:id="43" w:name="如果问复现指标为什么和论文完整表格不一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复现指标为什么和论文完整表格不一样？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可以回答：本地正式复现已经按 50 epoch 训练，并输出论文 gap 表；差异主要来自每轴承 96 快照抽样、作者源码不可得、部分特征和 score 口径不同，以及未做多随机种子调参。</w:t>
      </w:r>
    </w:p>
    <w:bookmarkEnd w:id="43"/>
    <w:bookmarkStart w:id="44" w:name="X8824d95321fb749220bbf01d758a8f75d9de5e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 xLSTM-Transformer 的 R2 是负的，PHM Score 很大？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可以回答：负 R2 表示 96 快照抽样和单次训练设置下模型还弱于均值基线；PHM Score 是指数惩罚，个别相对误差会被放大。这些结果说明当前训练规模和调参仍不足，不是指标公式失效，所以我们在报告中把它作为边界保留。</w:t>
      </w:r>
    </w:p>
    <w:bookmarkEnd w:id="44"/>
    <w:bookmarkStart w:id="45" w:name="如果问attention-或-xlstm-是否一定优于-baselin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attention 或 xLSTM 是否一定优于 baseline？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可以回答：在当前 50 epoch、96 快照抽样设置下，部分工况主模型优于 baseline，部分工况仍不稳定。更严谨的结论需要全量样本和多随机种子统计。</w:t>
      </w:r>
    </w:p>
    <w:bookmarkEnd w:id="45"/>
    <w:bookmarkStart w:id="46" w:name="如果问软件工程价值在哪里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软件工程价值在哪里？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包内；测试覆盖了关键流程。</w:t>
      </w:r>
    </w:p>
    <w:bookmarkEnd w:id="46"/>
    <w:bookmarkStart w:id="47" w:name="如果问你们最理解项目的地方是什么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你们最理解项目的地方是什么？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可以回答：不是某个模型名字，而是数据从采集记录到训练证据的关系。我们知道一个快照覆盖时长和相邻快照间隔的区别，知道 RUL 标签为什么要按运行时间构造，也知道一次训练结束后应检查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，而不是只看一页指标表。</w:t>
      </w:r>
    </w:p>
    <w:bookmarkEnd w:id="47"/>
    <w:bookmarkEnd w:id="48"/>
    <w:bookmarkEnd w:id="4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2026-06-15T16:42:21Z</dcterms:created>
  <dcterms:modified xsi:type="dcterms:W3CDTF">2026-06-15T16:42:21Z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