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3" w:name="工业轴承设备剩余寿命预测系统的实现结题报告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工业轴承设备剩余寿命预测系统的实现：结题报告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结题报告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SE-PHM-FINAL-12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最终成果、数据理解、技术难点、测试和验收总结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项目概述"/>
    <w:p>
      <w:pPr>
        <w:pStyle w:val="Heading2"/>
      </w:pPr>
      <w:r>
        <w:rPr>
          <w:rFonts w:ascii="宋体" w:hAnsi="宋体" w:eastAsia="宋体"/>
          <w:color w:val="000000"/>
        </w:rPr>
        <w:t xml:space="preserve">1. 项目概述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本项目面向工业轴承预测性维护场景，围绕轴承振动信号建立一个可运行、可测试、可复现实验的剩余寿命预测系统。系统支持 XJTU-SY 和 PHM2012/FEMTO 两类真实轴承退化数据集，提供数据加载、信号预处理、特征提取、RUL 标签构造、多模型训练、指标评估、实验记录和可视化输出能力。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与单个算法脚本不同，本项目重点体现软件工程课程要求：统一模块边界、统一训练与测试接口、完整文档体系、自动化测试和可复现实验记录。最终系统以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USTC.SSE.BearingPrediction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为主命名空间，通过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uv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管理环境，并以 notebook、API 文档和课程文档支撑验收与答辩。</w:t>
      </w:r>
    </w:p>
    <w:bookmarkEnd w:id="22"/>
    <w:bookmarkStart w:id="25" w:name="完成情况"/>
    <w:p>
      <w:pPr>
        <w:pStyle w:val="Heading2"/>
      </w:pPr>
      <w:r>
        <w:rPr>
          <w:rFonts w:ascii="宋体" w:hAnsi="宋体" w:eastAsia="宋体"/>
          <w:color w:val="000000"/>
        </w:rPr>
        <w:t xml:space="preserve">2. 完成情况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项目已完成以下核心功能：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模块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完成内容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XJTULoader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PHM2012Loader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SyntheticBearingFactory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，并补充真实数据抽样加载能力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预处理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支持鲁棒裁剪、Z-score、Min-Max、滑动窗口切分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特征工程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19 维时域/频域特征，覆盖论文复现所需基础特征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标签构造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RUL 窗口标签、特征序列 RUL 标签、健康指标序列标签、退化阶段标签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CNN、RNN、MLP、Transformer、CNN-LSTM-AM、XLSTM-Transformer 等模型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支持统一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BaseTrainer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BaseTester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、实验配置记录、历史记录和预测结果导出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评价指标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MAE、RMSE、NormalizedRMSE、R2、SMAPE、Huang RUL Score、PHM/RUL 非对称惩罚 score 和方向性偏差指标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 CNN-LSTM-AM 与 xLSTM-Transformer 两篇 RUL 论文的工程化复现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失效概率/生存分析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保留 Kaplan-Meier、Cox 等基础接口和文档说明，未作为本轮结题主验收路线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文档交付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完成开题、中期、结题、测试、用户、安装、技术论文和贡献说明文档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开题阶段提出的能力在结题时按主线和扩展分层验收：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开题承诺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结题状态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数据导入、检查与管理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XJTU-SY、PHM2012 和合成数据，统一为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BearingEntity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振动信号预处理与特征提取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实现 19 维时域/频域特征和多轴承特征摘要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剩余寿命预测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baseline、CNN-LSTM-AM、XLSTM-Transformer 等训练 workflow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健康趋势和 RUL 曲线展示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notebook、可视化模块和最终 PPT 均包含趋势图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训练监控与实验记录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history.csv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metrics.json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predictions.csv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comparison_metrics.csv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可追溯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失效概率/生存分析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扩展接口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保留 Kaplan-Meier、Cox 等基础接口，但不作为本轮主验收路线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课程文档和测试报告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结题报告、测试报告、用户手册、安装手册、技术论文、PPT 和讲稿已归档</w:t>
            </w:r>
          </w:p>
        </w:tc>
      </w:tr>
    </w:tbl>
    <w:bookmarkStart w:id="23" w:name="数据理解与特征分析成果"/>
    <w:p>
      <w:pPr>
        <w:pStyle w:val="Heading3"/>
      </w:pPr>
      <w:r>
        <w:rPr>
          <w:rFonts w:ascii="宋体" w:hAnsi="宋体" w:eastAsia="宋体"/>
          <w:color w:val="000000"/>
        </w:rPr>
        <w:t xml:space="preserve">2.1 数据理解与特征分析成果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本项目在结题阶段已经形成对两个真实轴承数据集的基本认识：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数据集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数据特点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观察到的退化规律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对建模的影响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三工况、多个轴承全寿命序列，单快照长，分钟级间隔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以 Bearing1_1 为例，寿命后期 RMS、峰值和综合健康指标明显抬升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适合展示完整退化曲线，训练划分应按轴承或时间顺序组织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PHM2012/FEMTO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文件更密，包含加速度和温度信息，Learning/Test/Full_Test 语义明确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以 Bearing1_1 为例，后期振动强度增强，但曲线更密集、波动更明显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需要 loader 解释 split 语义，并对官方终止 RUL 信息保持可追溯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特征层采用 19 维时域/频域特征。RMS、峰值、峰峰值和谱能量用于反映振动强度；峭度、峰值因子、脉冲因子和裕度因子用于反映冲击增强；均值、方差、标准差和偏度用于描述稳定性；主频、谱质心、谱均方根频率和谱熵用于补充频率分布变化。这些特征由项目代码使用 NumPy/FFT 计算，不是依赖自动特征提取工具生成。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综合健康指标用于图表展示时，并不是 19 维特征的简单平均，而是选取 RMS、峭度、峰值因子、谱能量做标准化合成。多轴承摘要采用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均匀抽样 80 个快照，前 20% 与后 20% 对比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的统计口径；该抽样只用于特征分析图，不等同于训练/测试划分。</w:t>
      </w:r>
    </w:p>
    <w:bookmarkEnd w:id="23"/>
    <w:bookmarkStart w:id="24" w:name="项目难点与解决方案"/>
    <w:p>
      <w:pPr>
        <w:pStyle w:val="Heading3"/>
      </w:pPr>
      <w:r>
        <w:rPr>
          <w:rFonts w:ascii="宋体" w:hAnsi="宋体" w:eastAsia="宋体"/>
          <w:color w:val="000000"/>
        </w:rPr>
        <w:t xml:space="preserve">2.2 项目难点与解决方案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难点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解决原则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实现结果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两个数据集格式不同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将目录差异收敛在 loader 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XJTULoader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和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PHM2012Loader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输出统一实体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原始信号长度不同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先提取可解释特征，再组织序列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19 维特征和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FeatureSequenceRulLabeler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标签和时间单位易混淆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在标签构造和文档中保留单位说明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和测试均检查 prediction_count 与 target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 score 口径不同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区分论文原版 Score、PHM/RUL 惩罚 Score 和普通误差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新增 RUL 指标体系并写入复现文档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课程验收需要可复跑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将 notebook、pytest、真实训练输出分层验证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8 个 notebook smoke、31 个测试和真实训练记录</w:t>
            </w:r>
          </w:p>
        </w:tc>
      </w:tr>
    </w:tbl>
    <w:bookmarkEnd w:id="24"/>
    <w:bookmarkEnd w:id="25"/>
    <w:bookmarkStart w:id="28" w:name="论文复现成果"/>
    <w:p>
      <w:pPr>
        <w:pStyle w:val="Heading2"/>
      </w:pPr>
      <w:r>
        <w:rPr>
          <w:rFonts w:ascii="宋体" w:hAnsi="宋体" w:eastAsia="宋体"/>
          <w:color w:val="000000"/>
        </w:rPr>
        <w:t xml:space="preserve">3. 论文复现成果</w:t>
      </w:r>
    </w:p>
    <w:bookmarkStart w:id="26" w:name="cnn-lstm-am-复现"/>
    <w:p>
      <w:pPr>
        <w:pStyle w:val="Heading3"/>
      </w:pPr>
      <w:r>
        <w:rPr>
          <w:rFonts w:ascii="宋体" w:hAnsi="宋体" w:eastAsia="宋体"/>
          <w:color w:val="000000"/>
        </w:rPr>
        <w:t xml:space="preserve">3.1 CNN-LSTM-AM 复现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项目复现 Huang 等 2024 年 CNN-LSTM-AM 论文中的核心流程：19 维振动特征、CNN 局部特征编码、LSTM 时序建模、attention 聚合和 RUL 回归。复现 notebook 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examples/06_paper_cnn_lstm_attention_rul.ipynb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真实数据 8 epoch 小规模训练验收结果显示，XJTU-SY 和 PHM2012 均能完成 CNN-LSTM-AM 与 CNN-LSTM baseline 对比，并输出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huang_rul_score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normalized_rmse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smape</w:t>
      </w:r>
      <w:r>
        <w:rPr>
          <w:rFonts w:ascii="宋体" w:hAnsi="宋体" w:eastAsia="宋体"/>
          <w:color w:val="000000"/>
        </w:rPr>
        <w:t xml:space="preserve">、方向性偏差和相对变化列。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数据集与轴承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模型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NormalizedRMSE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Huang RUL Score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Bearing1_5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406.302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0.615609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29.001612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Bearing1_5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406.503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0.615913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29.127879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Bearing3_1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651.036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0.591850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29.447255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Bearing3_1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650.700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0.591545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29.098391</w:t>
            </w:r>
          </w:p>
        </w:tc>
      </w:tr>
    </w:tbl>
    <w:bookmarkEnd w:id="26"/>
    <w:bookmarkStart w:id="27" w:name="xlstm-transformer-复现"/>
    <w:p>
      <w:pPr>
        <w:pStyle w:val="Heading3"/>
      </w:pPr>
      <w:r>
        <w:rPr>
          <w:rFonts w:ascii="宋体" w:hAnsi="宋体" w:eastAsia="宋体"/>
          <w:color w:val="000000"/>
        </w:rPr>
        <w:t xml:space="preserve">3.2 xLSTM-Transformer 复现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项目复现 Jiang 等 2026 年 xLSTM-Transformer 论文的核心结构：特征序列输入、xLSTM-inspired memory、Transformer encoder 和 RUL 回归 head。复现 notebook 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examples/07_paper_xlstm_transformer_rul.ipynb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该复现按照论文的 XJTU-SY 三工况和 PHM2012 三工况划分组织训练/测试，训练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XLSTM-Transformer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Feature-Transformer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LSTM-Transformer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三类模型，并输出 RMSE、NormalizedRMSE、R2、PHM2012 Score、Huang RUL Score 和相对 baseline 变化列。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数据集/工况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XLSTM-Transformer 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NormalizedRMSE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R2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Huang RUL Score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 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2280.631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0.603342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-2.275735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27.311963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 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7688.510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0.601605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-2.257316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27.384609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 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5349.793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0.602454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-2.263306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27.381524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 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9641.294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1.337211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-15.109142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31.983197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 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10066.013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2.092726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-38.474005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31.989926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 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1594.736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1.131018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-10.582701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31.889389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上述结果用于证明复现 workflow 真实运行并输出论文指标。由于本地训练采用小样本和 8 epoch，PHM2012 上 R2 为负，说明当前设置下模型拟合不足，这一点在复现文档中作为限制保留。</w:t>
      </w:r>
    </w:p>
    <w:bookmarkEnd w:id="27"/>
    <w:bookmarkEnd w:id="28"/>
    <w:bookmarkStart w:id="29" w:name="测试与质量保证"/>
    <w:p>
      <w:pPr>
        <w:pStyle w:val="Heading2"/>
      </w:pPr>
      <w:r>
        <w:rPr>
          <w:rFonts w:ascii="宋体" w:hAnsi="宋体" w:eastAsia="宋体"/>
          <w:color w:val="000000"/>
        </w:rPr>
        <w:t xml:space="preserve">4. 测试与质量保证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项目采用自动化测试和真实训练验收结合的质量保障方式：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单元测试覆盖数据加载、特征构造、指标计算、预测模式和模型 forward。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集成测试覆盖 loader、labeler、trainer、tester、evaluator 和 experiment tracker 的组合链路。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notebook 测试直接执行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examples/*.ipynb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的代码单元，确认示例不是静态展示。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真实训练验收在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tmp/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下运行，不提交训练输出，但将命令和指标摘要写入复现文档。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通过多次 commit 保存关键阶段，便于回溯和问题定位。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测试证据按三层组织：快速 demo 用于验证 API 链路；notebook smoke 用于验证 examples 真实可执行；真实复现 workflow 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data/external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数据输出训练历史、预测表和指标对比。结题文档、PDF/DOCX 导出和网页 PPT 生成也作为课程交付验收的一部分。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截至结题阶段，重点测试命令包括：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tests/test_rul_metrics.py tests/test_paper_cnn_lstm_attention.py tests/test_paper_xlstm_transformer.py tests/test_examples_notebooks.py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</w:p>
    <w:bookmarkEnd w:id="29"/>
    <w:bookmarkStart w:id="30" w:name="项目成果"/>
    <w:p>
      <w:pPr>
        <w:pStyle w:val="Heading2"/>
      </w:pPr>
      <w:r>
        <w:rPr>
          <w:rFonts w:ascii="宋体" w:hAnsi="宋体" w:eastAsia="宋体"/>
          <w:color w:val="000000"/>
        </w:rPr>
        <w:t xml:space="preserve">5. 项目成果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最终成果包括：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源代码：</w:t>
      </w:r>
      <w:r>
        <w:rPr>
          <w:rStyle w:val="VerbatimChar"/>
          <w:rFonts w:ascii="宋体" w:hAnsi="宋体" w:eastAsia="宋体"/>
          <w:color w:val="000000"/>
        </w:rPr>
        <w:t xml:space="preserve">src/USTC/SSE/BearingPrediction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notebook 示例：</w:t>
      </w:r>
      <w:r>
        <w:rPr>
          <w:rStyle w:val="VerbatimChar"/>
          <w:rFonts w:ascii="宋体" w:hAnsi="宋体" w:eastAsia="宋体"/>
          <w:color w:val="000000"/>
        </w:rPr>
        <w:t xml:space="preserve">examples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API 与用户文档：</w:t>
      </w:r>
      <w:r>
        <w:rPr>
          <w:rStyle w:val="VerbatimChar"/>
          <w:rFonts w:ascii="宋体" w:hAnsi="宋体" w:eastAsia="宋体"/>
          <w:color w:val="000000"/>
        </w:rPr>
        <w:t xml:space="preserve">docs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开题材料：</w:t>
      </w:r>
      <w:r>
        <w:rPr>
          <w:rStyle w:val="VerbatimChar"/>
          <w:rFonts w:ascii="宋体" w:hAnsi="宋体" w:eastAsia="宋体"/>
          <w:color w:val="000000"/>
        </w:rPr>
        <w:t xml:space="preserve">docx/proposal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中期材料：</w:t>
      </w:r>
      <w:r>
        <w:rPr>
          <w:rStyle w:val="VerbatimChar"/>
          <w:rFonts w:ascii="宋体" w:hAnsi="宋体" w:eastAsia="宋体"/>
          <w:color w:val="000000"/>
        </w:rPr>
        <w:t xml:space="preserve">docx/mid-term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结题材料：</w:t>
      </w:r>
      <w:r>
        <w:rPr>
          <w:rStyle w:val="VerbatimChar"/>
          <w:rFonts w:ascii="宋体" w:hAnsi="宋体" w:eastAsia="宋体"/>
          <w:color w:val="000000"/>
        </w:rPr>
        <w:t xml:space="preserve">docx/final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自动化测试：</w:t>
      </w:r>
      <w:r>
        <w:rPr>
          <w:rStyle w:val="VerbatimChar"/>
          <w:rFonts w:ascii="宋体" w:hAnsi="宋体" w:eastAsia="宋体"/>
          <w:color w:val="000000"/>
        </w:rPr>
        <w:t xml:space="preserve">tests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文档/PPT 导出脚本：</w:t>
      </w:r>
      <w:r>
        <w:rPr>
          <w:rStyle w:val="VerbatimChar"/>
          <w:rFonts w:ascii="宋体" w:hAnsi="宋体" w:eastAsia="宋体"/>
          <w:color w:val="000000"/>
        </w:rPr>
        <w:t xml:space="preserve">scripts</w:t>
      </w:r>
    </w:p>
    <w:bookmarkEnd w:id="30"/>
    <w:bookmarkStart w:id="31" w:name="不足与后续改进"/>
    <w:p>
      <w:pPr>
        <w:pStyle w:val="Heading2"/>
      </w:pPr>
      <w:r>
        <w:rPr>
          <w:rFonts w:ascii="宋体" w:hAnsi="宋体" w:eastAsia="宋体"/>
          <w:color w:val="000000"/>
        </w:rPr>
        <w:t xml:space="preserve">6. 不足与后续改进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当前系统已经完成课程项目要求的主要流程，但仍存在可继续改进的方向：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论文复现采用小样本真实训练，尚未进行论文级 50 epoch、多随机种子和全量统计对齐。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xLSTM-Transformer 复现为结构复现和项目特征管线适配，未获得作者源码，因此不能声明逐行复刻。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当前重点是 RUL 预测；失效概率/生存分析保留基础接口和文档说明，尚未作为结题主线进行充分实验验证。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可视化系统仍以静态 Matplotlib 图表为主，后续可扩展交互式实验看板。</w:t>
      </w:r>
    </w:p>
    <w:bookmarkEnd w:id="31"/>
    <w:bookmarkStart w:id="32" w:name="结论"/>
    <w:p>
      <w:pPr>
        <w:pStyle w:val="Heading2"/>
      </w:pPr>
      <w:r>
        <w:rPr>
          <w:rFonts w:ascii="宋体" w:hAnsi="宋体" w:eastAsia="宋体"/>
          <w:color w:val="000000"/>
        </w:rPr>
        <w:t xml:space="preserve">7. 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本项目完成了工业轴承剩余寿命预测系统的主要设计、实现、测试和文档工作。最终成果可以概括为三条可追溯链路：从真实数据文件到统一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BearingEntity</w:t>
      </w:r>
      <w:r>
        <w:rPr>
          <w:rFonts w:ascii="宋体" w:hAnsi="宋体" w:eastAsia="宋体"/>
          <w:color w:val="000000"/>
        </w:rPr>
        <w:t xml:space="preserve">；从振动快照到 19 维特征、RUL 标签和模型输入；从真实训练到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predictions.csv</w:t>
      </w:r>
      <w:r>
        <w:rPr>
          <w:rFonts w:ascii="宋体" w:hAnsi="宋体" w:eastAsia="宋体"/>
          <w:color w:val="000000"/>
        </w:rPr>
        <w:t xml:space="preserve">、指标表、测试报告和答辩材料。系统满足软件工程课程对可运行系统、工程过程、测试验证和文档交付的要求。</w:t>
      </w:r>
    </w:p>
    <w:bookmarkEnd w:id="32"/>
    <w:bookmarkEnd w:id="33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12_结题报告</dc:title>
  <dc:creator>zyj、cyy、zdh、zy</dc:creator>
  <cp:keywords>RUL, 预测性维护, 工业轴承, 软件工程</cp:keywords>
  <dcterms:created xsi:type="dcterms:W3CDTF">2026-06-14T18:52:02Z</dcterms:created>
  <dcterms:modified xsi:type="dcterms:W3CDTF">2026-06-14T18:52:02Z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