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工业轴承设备剩余寿命预测系统的实现结题答辩提纲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工业轴承设备剩余寿命预测系统的实现：结题答辩提纲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结题答辩提纲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 页答辩结构、每页要点、时间分配和备答重点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补充数据理解、技术难点、测试验收和 DOCX 交付信息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 16 页新版网页 PPT 重构论文复现、指标解释和数据特征叙事</w:t>
            </w:r>
          </w:p>
        </w:tc>
      </w:tr>
    </w:tbl>
    <w:bookmarkEnd w:id="21"/>
    <w:bookmarkStart w:id="22" w:name="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1. 标题页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项目名称：工业轴承设备剩余寿命预测系统的实现。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课程：中国科学技术大学软件学院《软件工程》。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指导老师：zjf。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小组成员：zyj、cyy、zdh、zy。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答辩主线：基于真实轴承振动数据完成剩余寿命预测流程。</w:t>
      </w:r>
    </w:p>
    <w:bookmarkEnd w:id="22"/>
    <w:bookmarkStart w:id="23" w:name="项目目标与交付物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项目目标与交付物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目标：把真实轴承振动数据转成可复现的 RUL 预测流程。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汇报重点：数据理解、特征分析、工程实现、论文复现、测试验收。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已交付内容：两个数据集 loader、特征工程、RUL 标签、模型训练、评价指标、notebook 示例、结题文档。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口径提醒：先讲业务问题和数据语义，再讲模型和指标。</w:t>
      </w:r>
    </w:p>
    <w:bookmarkEnd w:id="23"/>
    <w:bookmarkStart w:id="24" w:name="任务定义为什么做-rul"/>
    <w:p>
      <w:pPr>
        <w:pStyle w:val="Heading2"/>
      </w:pPr>
      <w:r>
        <w:rPr>
          <w:rFonts w:ascii="宋体" w:hAnsi="宋体" w:eastAsia="宋体"/>
          <w:color w:val="000000"/>
        </w:rPr>
        <w:t xml:space="preserve">3. 任务定义：为什么做 RUL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预测性维护关注的是设备还能稳定运行多久。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本项目输出连续剩余寿命值、健康趋势曲线和误差指标。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本次答辩主线是 RUL 回归预测，不展开离散状态识别任务；生存分析和失效概率保留为扩展接口，不作为本轮主验收。</w:t>
      </w:r>
    </w:p>
    <w:bookmarkEnd w:id="24"/>
    <w:bookmarkStart w:id="25" w:name="数据来源与时间语义"/>
    <w:p>
      <w:pPr>
        <w:pStyle w:val="Heading2"/>
      </w:pPr>
      <w:r>
        <w:rPr>
          <w:rFonts w:ascii="宋体" w:hAnsi="宋体" w:eastAsia="宋体"/>
          <w:color w:val="000000"/>
        </w:rPr>
        <w:t xml:space="preserve">4. 数据来源与时间语义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XJTU-SY：25.6 kHz、32768 点快照、1.28 s 快照时长、约 1 min 间隔、三工况十五轴承。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PHM2012：25.6 kHz、2560 点加速度文件、0.1 s 快照时长、约 10 s 间隔，包含温度文件。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两个数据集的目录结构、采样间隔和 RUL 语义不同，需要在 loader 层统一。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Test_set 的终止 RUL 按官方条目补充，不能只按本地文件数推断。</w:t>
      </w:r>
    </w:p>
    <w:bookmarkEnd w:id="25"/>
    <w:bookmarkStart w:id="26" w:name="xjtu-sy-数据特点与曲线分析"/>
    <w:p>
      <w:pPr>
        <w:pStyle w:val="Heading2"/>
      </w:pPr>
      <w:r>
        <w:rPr>
          <w:rFonts w:ascii="宋体" w:hAnsi="宋体" w:eastAsia="宋体"/>
          <w:color w:val="000000"/>
        </w:rPr>
        <w:t xml:space="preserve">5. XJTU-SY 数据特点与曲线分析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使用真实数据：XJTU-SY Bearing1_1、35Hz12kN、水平振动通道。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123 个快照中均匀抽取 80 个快照进行特征趋势分析。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0.617 上升到约 4.080，峰值和健康指标在后期明显抬升。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健康指标由 RMS、峭度、峰值因子、谱能量标准化后合成，用于辅助观察整体退化趋势。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结论：训练划分需要尊重时间顺序，不能把相邻退化片段随机混在一起。</w:t>
      </w:r>
    </w:p>
    <w:bookmarkEnd w:id="26"/>
    <w:bookmarkStart w:id="27" w:name="phm2012-数据特点与差异"/>
    <w:p>
      <w:pPr>
        <w:pStyle w:val="Heading2"/>
      </w:pPr>
      <w:r>
        <w:rPr>
          <w:rFonts w:ascii="宋体" w:hAnsi="宋体" w:eastAsia="宋体"/>
          <w:color w:val="000000"/>
        </w:rPr>
        <w:t xml:space="preserve">6. PHM2012 数据特点与差异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使用真实数据：PHM2012 Bearing1_1、Condition 1、Learning_set、水平振动通道。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2803 个快照中均匀抽取 80 个快照进行趋势分析。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0.428 上升到约 2.068，后期振动强度和冲击变化更明显。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的快照更短、文件更密，并包含温度数据；本次主线先使用振动特征。</w:t>
      </w:r>
    </w:p>
    <w:bookmarkEnd w:id="27"/>
    <w:bookmarkStart w:id="28" w:name="多轴承特征摘要"/>
    <w:p>
      <w:pPr>
        <w:pStyle w:val="Heading2"/>
      </w:pPr>
      <w:r>
        <w:rPr>
          <w:rFonts w:ascii="宋体" w:hAnsi="宋体" w:eastAsia="宋体"/>
          <w:color w:val="000000"/>
        </w:rPr>
        <w:t xml:space="preserve">7. 多轴承特征摘要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新增多轴承统计图，覆盖 XJTU-SY 与 PHM2012 的多个代表轴承。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统计口径：每个轴承均匀抽样 80 个快照，前 20% 作为早期，后 20% 作为后期。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四个代表轴承后期 RMS 均高于早期，放大倍数约 2.72 到 5.60；谱能量放大更明显。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内部差异更明显，短序列不一定呈现单调退化。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摘要同时比较 RMS、峰值、峭度、峰值因子、谱能量和谱熵，不只是单一 RMS 曲线。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结论：代表曲线只说明局部现象，多轴承摘要用于补充统计视角。</w:t>
      </w:r>
    </w:p>
    <w:bookmarkEnd w:id="28"/>
    <w:bookmarkStart w:id="29" w:name="特征工程与-rul-标签构造"/>
    <w:p>
      <w:pPr>
        <w:pStyle w:val="Heading2"/>
      </w:pPr>
      <w:r>
        <w:rPr>
          <w:rFonts w:ascii="宋体" w:hAnsi="宋体" w:eastAsia="宋体"/>
          <w:color w:val="000000"/>
        </w:rPr>
        <w:t xml:space="preserve">8. 特征工程与 RUL 标签构造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默认提取 14 个时域特征和 5 个频域特征，共 19 维。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强度特征：RMS、峰值、峰峰值、谱能量。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冲击特征：峭度、峰值因子、脉冲因子、裕度因子。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稳定性特征：均值、方差、标准差、偏度。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频谱特征：主频、谱质心、谱均方根频率、谱熵。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特征由项目代码使用 NumPy/FFT 实现，不是自动特征提取库生成；</w:t>
      </w:r>
      <w:r>
        <w:rPr>
          <w:rStyle w:val="VerbatimChar"/>
          <w:rFonts w:ascii="宋体" w:hAnsi="宋体" w:eastAsia="宋体"/>
          <w:color w:val="000000"/>
        </w:rPr>
        <w:t xml:space="preserve">clearance_factor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当前与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margin_factor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同公式，作为论文特征名兼容字段保留。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快照级特征按时间顺序组织为长度 5 或 10 的特征序列。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标签按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max(elapsed_seconds) - elapsed_seconds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生成；若只用快照序号，则标注为 snapshot-level RUL。</w:t>
      </w:r>
    </w:p>
    <w:bookmarkEnd w:id="29"/>
    <w:bookmarkStart w:id="30" w:name="系统总体架构"/>
    <w:p>
      <w:pPr>
        <w:pStyle w:val="Heading2"/>
      </w:pPr>
      <w:r>
        <w:rPr>
          <w:rFonts w:ascii="宋体" w:hAnsi="宋体" w:eastAsia="宋体"/>
          <w:color w:val="000000"/>
        </w:rPr>
        <w:t xml:space="preserve">9. 系统总体架构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数据接入层：读取 XJTU-SY 与 PHM2012，整理工况、采样率、通道和时间顺序。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特征与标签层：提取 19 维时频域特征，构造特征序列和 RUL 标签。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模型训练层：训练 baseline、CNN-LSTM-AM、xLSTM-Transformer，并保存训练记录。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评价与展示层：输出误差指标、RUL 曲线、预测文件和复现实验对比表。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边界原则：数据读取、特征构造、模型训练和评价输出分开实现。</w:t>
      </w:r>
    </w:p>
    <w:bookmarkEnd w:id="30"/>
    <w:bookmarkStart w:id="31" w:name="难点一异构数据集统一"/>
    <w:p>
      <w:pPr>
        <w:pStyle w:val="Heading2"/>
      </w:pPr>
      <w:r>
        <w:rPr>
          <w:rFonts w:ascii="宋体" w:hAnsi="宋体" w:eastAsia="宋体"/>
          <w:color w:val="000000"/>
        </w:rPr>
        <w:t xml:space="preserve">10. 难点一：异构数据集统一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数据差异：快照长度、时间间隔、split 语义、终止 RUL 信息不同。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解决原则：loader 只负责读取和整理数据，模型只接收统一后的特征序列。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工程权衡：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是读前均匀抽样，用于控制训练时间，同时保留早期、中期和后期片段。</w:t>
      </w:r>
    </w:p>
    <w:bookmarkEnd w:id="31"/>
    <w:bookmarkStart w:id="32" w:name="难点二信号到序列特征"/>
    <w:p>
      <w:pPr>
        <w:pStyle w:val="Heading2"/>
      </w:pPr>
      <w:r>
        <w:rPr>
          <w:rFonts w:ascii="宋体" w:hAnsi="宋体" w:eastAsia="宋体"/>
          <w:color w:val="000000"/>
        </w:rPr>
        <w:t xml:space="preserve">11. 难点二：信号到序列特征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原始振动快照较长，不适合直接在课程范围内做稳定复现。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处理流程：raw snapshot → 19 维 feature vector → feature sequence → RUL label → prediction。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模型看到的是一段连续变化，而不是孤立的一个点。</w:t>
      </w:r>
    </w:p>
    <w:bookmarkEnd w:id="32"/>
    <w:bookmarkStart w:id="33" w:name="为什么选这两篇论文"/>
    <w:p>
      <w:pPr>
        <w:pStyle w:val="Heading2"/>
      </w:pPr>
      <w:r>
        <w:rPr>
          <w:rFonts w:ascii="宋体" w:hAnsi="宋体" w:eastAsia="宋体"/>
          <w:color w:val="000000"/>
        </w:rPr>
        <w:t xml:space="preserve">12. 为什么选这两篇论文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2024 CNN-LSTM-AM：使用时域和频域特征，模型结构清晰，给出 Score 公式，适合验证 19 维特征、attention 模型和指标实现。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2026 xLSTM-Transformer：同时覆盖 XJTU-SY 与 PHM2012，公开工况划分、序列长度、训练参数和 RMSE/R2/Score，适合做第二篇同规格复现。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选择依据：数据集匹配、结构可实现、baseline 可比较、指标可复查。</w:t>
      </w:r>
    </w:p>
    <w:bookmarkEnd w:id="33"/>
    <w:bookmarkStart w:id="34" w:name="复现实验怎么做"/>
    <w:p>
      <w:pPr>
        <w:pStyle w:val="Heading2"/>
      </w:pPr>
      <w:r>
        <w:rPr>
          <w:rFonts w:ascii="宋体" w:hAnsi="宋体" w:eastAsia="宋体"/>
          <w:color w:val="000000"/>
        </w:rPr>
        <w:t xml:space="preserve">13. 复现实验怎么做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读取真实数据：优先从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读取 XJTU-SY 与 PHM2012。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构造特征序列：每个快照提取 19 维特征，再按时间顺序组成序列。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训练主模型：CNN-LSTM-AM 与 XLSTM-Transformer 均真实训练 8 epoch。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baseline：CNN-LSTM、Feature-Transformer、LSTM-Transformer。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输出指标：RMSE、NormalizedRMSE、R2、Huang Score、PHM Score。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保存证据：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bookmarkEnd w:id="34"/>
    <w:bookmarkStart w:id="35" w:name="指标与结果边界"/>
    <w:p>
      <w:pPr>
        <w:pStyle w:val="Heading2"/>
      </w:pPr>
      <w:r>
        <w:rPr>
          <w:rFonts w:ascii="宋体" w:hAnsi="宋体" w:eastAsia="宋体"/>
          <w:color w:val="000000"/>
        </w:rPr>
        <w:t xml:space="preserve">14. 指标与结果边界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普通回归误差：RMSE、MAE、SMAPE、R2。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论文指标：Huang 原版 Score。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挑战赛惩罚指标：PHM/RUL 惩罚 Score。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方向倾向：over prediction rate、under prediction rate、within tolerance rate。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结果口径：代表性数值来自真实数据 8 epoch 小规模训练；CNN-LSTM-AM 每数据集抽样 48 个快照，xLSTM-Transformer 每轴承抽样 16 个快照，用于证明 workflow 和指标体系可复跑。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边界说明：PHM2012 上负 R2 说明短训练拟合不足；PHM2012 Score 数值很大是指数惩罚放大误差，不把单次结果解释为最终性能结论。</w:t>
      </w:r>
    </w:p>
    <w:bookmarkEnd w:id="35"/>
    <w:bookmarkStart w:id="36" w:name="测试方案与验收证据"/>
    <w:p>
      <w:pPr>
        <w:pStyle w:val="Heading2"/>
      </w:pPr>
      <w:r>
        <w:rPr>
          <w:rFonts w:ascii="宋体" w:hAnsi="宋体" w:eastAsia="宋体"/>
          <w:color w:val="000000"/>
        </w:rPr>
        <w:t xml:space="preserve">15. 测试方案与验收证据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 pytest：31 个测试通过。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notebook：8 个示例 notebook 纳入执行验收。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论文复现：两篇 workflow 均读取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真实数据。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输出文件：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验收分层：demo 验证 API 链路，notebook smoke 验证示例可执行，真实训练验证复现输出，文档导出验证课程交付。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文档材料：结题报告、测试报告、用户手册、安装手册、技术论文、成员贡献说明、答辩提纲和讲稿。</w:t>
      </w:r>
    </w:p>
    <w:bookmarkEnd w:id="36"/>
    <w:bookmarkStart w:id="37" w:name="成员分工不足与总结"/>
    <w:p>
      <w:pPr>
        <w:pStyle w:val="Heading2"/>
      </w:pPr>
      <w:r>
        <w:rPr>
          <w:rFonts w:ascii="宋体" w:hAnsi="宋体" w:eastAsia="宋体"/>
          <w:color w:val="000000"/>
        </w:rPr>
        <w:t xml:space="preserve">16. 成员分工、不足与总结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zyj：系统架构、RUL 模型、训练 workflow 和论文复现，35%。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cyy：数据处理、特征工程、loader 和数据文档，25%。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zdh：概率分析基础能力、评价支持、测试报告，20%。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zy：可视化、用户文档、答辩材料，20%。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不足：训练规模较小，未做多随机种子和充分跨工况验证，温度信息尚未深入融合。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总结：项目形成三条证据链：真实文件到统一实体，快照信号到特征序列和 RUL 标签，真实训练到预测文件、指标表和测试报告。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结尾口径：成果是链路和证据，边界是小样本 8 epoch 与非作者源码级复现，后续是扩大训练、多随机种子、温度融合和跨工况验证。</w:t>
      </w:r>
    </w:p>
    <w:bookmarkEnd w:id="37"/>
    <w:bookmarkStart w:id="38" w:name="汇报时间与语气控制"/>
    <w:p>
      <w:pPr>
        <w:pStyle w:val="Heading2"/>
      </w:pPr>
      <w:r>
        <w:rPr>
          <w:rFonts w:ascii="宋体" w:hAnsi="宋体" w:eastAsia="宋体"/>
          <w:color w:val="000000"/>
        </w:rPr>
        <w:t xml:space="preserve">17. 汇报时间与语气控制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部分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建议时间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语气要求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项目目标与数据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先讲清楚为什么做 RUL，再讲两个数据集的差异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特征与系统架构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用数据流说明模块，不把架构讲成抽象口号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难点与解决方案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每个难点都说明原因、原理和对应实现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论文复现与测试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说明选择依据、复现方式、指标口径和边界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总结与分工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客观说明贡献、不足和后续改进</w:t>
            </w:r>
          </w:p>
        </w:tc>
      </w:tr>
    </w:tbl>
    <w:bookmarkEnd w:id="38"/>
    <w:bookmarkEnd w:id="3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20_结题答辩提纲</dc:title>
  <dc:creator>zyj、cyy、zdh、zy</dc:creator>
  <cp:keywords>RUL, 预测性维护, 工业轴承, 软件工程</cp:keywords>
  <dcterms:created xsi:type="dcterms:W3CDTF">2026-06-14T18:53:03Z</dcterms:created>
  <dcterms:modified xsi:type="dcterms:W3CDTF">2026-06-14T18:53:03Z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