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工业轴承设备剩余寿命预测系统的实现集成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端到端链路、输出物检查和集成测试结论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3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集成测试验证多个模块组合后的业务链路是否可运行，重点关注从数据加载到训练、测试、指标输出和实验记录的端到端流程。</w:t>
      </w:r>
    </w:p>
    <w:bookmarkStart w:id="22" w:name="测试环境与数据来源"/>
    <w:p>
      <w:pPr>
        <w:pStyle w:val="Heading3"/>
      </w:pPr>
      <w:r>
        <w:rPr>
          <w:rFonts w:ascii="宋体" w:hAnsi="宋体" w:eastAsia="宋体"/>
          <w:color w:val="000000"/>
        </w:rPr>
        <w:t xml:space="preserve">1.1 测试环境与数据来源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data/external/xjtu/extracted/XJTU-SY_Bearing_Datasets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data/external/phm2012/final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原始数据和训练输出不提交，文档记录命令、路径和指标摘要</w:t>
            </w:r>
          </w:p>
        </w:tc>
      </w:tr>
    </w:tbl>
    <w:bookmarkEnd w:id="22"/>
    <w:bookmarkEnd w:id="23"/>
    <w:bookmarkStart w:id="24" w:name="集成链路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集成链路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数据目录 -&gt; Loader -&gt; BearingEntity -&gt; Labeler -&gt;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     -&gt; Model -&gt; BaseTrainer -&gt; BaseTester -&gt; Evaluator -&gt; CSV/JSON/History</w:t>
      </w:r>
    </w:p>
    <w:bookmarkEnd w:id="24"/>
    <w:bookmarkStart w:id="25" w:name="测试场景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测试场景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CNN 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XJTULoader、BearingRulLabeler、CNN、Trainer、Tester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MLP 特征训练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PHM2012Loader、特征标签、MLP、Evaluator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指标不为空，预测文件存在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FeatureSequenceRulLabeler、CNNLSTMAttention、RUL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两个数据集、两类模型均输出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XLSTMTransformer、baseline、论文划分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两个数据集、三类模型均输出对比表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examples、workflow、训练器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 notebook 代码单元能执行</w:t>
            </w:r>
          </w:p>
        </w:tc>
      </w:tr>
    </w:tbl>
    <w:bookmarkEnd w:id="25"/>
    <w:bookmarkStart w:id="26" w:name="输出检查"/>
    <w:p>
      <w:pPr>
        <w:pStyle w:val="Heading2"/>
      </w:pPr>
      <w:r>
        <w:rPr>
          <w:rFonts w:ascii="宋体" w:hAnsi="宋体" w:eastAsia="宋体"/>
          <w:color w:val="000000"/>
        </w:rPr>
        <w:t xml:space="preserve">4. 输出检查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集成测试重点检查以下输出：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：证明训练 epoch 实际执行；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：保存单次模型评估指标；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：保存 target 与 prediction；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attention_weights.csv</w:t>
      </w:r>
      <w:r>
        <w:rPr>
          <w:rFonts w:ascii="宋体" w:hAnsi="宋体" w:eastAsia="宋体"/>
          <w:color w:val="000000"/>
        </w:rPr>
        <w:t xml:space="preserve">：保存 attention 类模型的注意力权重；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：保存论文复现对比表。</w:t>
      </w:r>
    </w:p>
    <w:bookmarkEnd w:id="26"/>
    <w:bookmarkStart w:id="30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tests/test_paper_cnn_lstm_attention.py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tests/test_paper_xlstm_transformer.py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tests/test_examples_notebooks.py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真实训练验收参数摘要：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tmp/paper_repro_real_metrics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run_paper_cnn_lstm_attention_reproduction</w:t>
      </w:r>
      <w:r>
        <w:rPr>
          <w:rStyle w:val="ErrorTok"/>
          <w:rFonts w:ascii="宋体" w:hAnsi="宋体" w:eastAsia="宋体"/>
          <w:color w:val="000000"/>
        </w:rPr>
        <w:t xml:space="preserve">(</w:t>
      </w:r>
      <w:r>
        <w:rPr>
          <w:rStyle w:val="ExtensionTok"/>
          <w:rFonts w:ascii="宋体" w:hAnsi="宋体" w:eastAsia="宋体"/>
          <w:color w:val="000000"/>
        </w:rPr>
        <w:t xml:space="preserve">...</w:t>
      </w:r>
      <w:r>
        <w:rPr>
          <w:rStyle w:val="Keyword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tmp/paper_repro_xlstm_transformer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run_paper_xlstm_transformer_reproduction</w:t>
      </w:r>
      <w:r>
        <w:rPr>
          <w:rStyle w:val="ErrorTok"/>
          <w:rFonts w:ascii="宋体" w:hAnsi="宋体" w:eastAsia="宋体"/>
          <w:color w:val="000000"/>
        </w:rPr>
        <w:t xml:space="preserve">(</w:t>
      </w:r>
      <w:r>
        <w:rPr>
          <w:rStyle w:val="ExtensionTok"/>
          <w:rFonts w:ascii="宋体" w:hAnsi="宋体" w:eastAsia="宋体"/>
          <w:color w:val="000000"/>
        </w:rPr>
        <w:t xml:space="preserve">...</w:t>
      </w:r>
      <w:r>
        <w:rPr>
          <w:rStyle w:val="KeywordTok"/>
          <w:rFonts w:ascii="宋体" w:hAnsi="宋体" w:eastAsia="宋体"/>
          <w:color w:val="000000"/>
        </w:rPr>
        <w:t xml:space="preserve">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完整可复制命令保留在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；本报告只保留验收参数和 workflow 名称，避免 PDF 中长命令截断。</w:t>
      </w:r>
    </w:p>
    <w:bookmarkStart w:id="27" w:name="集成输出物核对表"/>
    <w:p>
      <w:pPr>
        <w:pStyle w:val="Heading3"/>
      </w:pPr>
      <w:r>
        <w:rPr>
          <w:rFonts w:ascii="宋体" w:hAnsi="宋体" w:eastAsia="宋体"/>
          <w:color w:val="000000"/>
        </w:rPr>
        <w:t xml:space="preserve">5.1 集成输出物核对表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生成位置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验证意义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epoch 循环真实执行，不是静态示例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模型评估目录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保存单模型评估结果，便于回归比较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target 与 prediction，可画 RUL 曲线和误差分布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记录不同模型、数据集和指标的对比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examples 不是孤立文档，而是可执行入口</w:t>
            </w:r>
          </w:p>
        </w:tc>
      </w:tr>
    </w:tbl>
    <w:bookmarkEnd w:id="27"/>
    <w:bookmarkStart w:id="28" w:name="真实训练指标摘要"/>
    <w:p>
      <w:pPr>
        <w:pStyle w:val="Heading3"/>
      </w:pPr>
      <w:r>
        <w:rPr>
          <w:rFonts w:ascii="宋体" w:hAnsi="宋体" w:eastAsia="宋体"/>
          <w:color w:val="000000"/>
        </w:rPr>
        <w:t xml:space="preserve">5.2 真实训练指标摘要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复现实验输出编号为 A1。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复现实验输出编号为 A2，包含 18 行模型对比结果。代表性 XLSTM-Transformer 指标如下：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tmp/paper_repro_real_metrics/.../comparison_metrics.csv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tmp/paper_repro_xlstm_transformer/.../comparison_metrics.csv</w:t>
            </w:r>
          </w:p>
        </w:tc>
      </w:tr>
    </w:tbl>
    <w:bookmarkEnd w:id="28"/>
    <w:bookmarkStart w:id="29" w:name="原始输出摘录"/>
    <w:p>
      <w:pPr>
        <w:pStyle w:val="Heading3"/>
      </w:pPr>
      <w:r>
        <w:rPr>
          <w:rFonts w:ascii="宋体" w:hAnsi="宋体" w:eastAsia="宋体"/>
          <w:color w:val="000000"/>
        </w:rPr>
        <w:t xml:space="preserve">5.3 原始输出摘录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&lt;focused paper/example tests&gt;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真实训练命令执行后，两个 workflow 均返回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路径，并在各模型目录下生成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。这些输出保留在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，用于本地复查，不纳入 Git。</w:t>
      </w:r>
    </w:p>
    <w:bookmarkEnd w:id="29"/>
    <w:bookmarkEnd w:id="30"/>
    <w:bookmarkStart w:id="31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集成测试：RUL 指标、两篇论文复现和 notebook 测试，结果为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全量回归测试：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真实训练：XJTU-SY、PHM2012 两个数据集均完成 8 epoch，输出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真实训练：XJTU-SY 三工况、PHM2012 三工况、三类模型共 18 行对比结果，均完成 8 epoch。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集成测试证明系统不是孤立函数集合，而是具备完整业务链路的 RUL 预测框架。两个论文复现 workflow 能调用真实 loader、训练真实 PyTorch 模型、输出指标和训练历史，满足课程验收对可运行系统和实验复现的要求。</w:t>
      </w:r>
    </w:p>
    <w:bookmarkEnd w:id="31"/>
    <w:bookmarkEnd w:id="3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14_集成测试报告</dc:title>
  <dc:creator>zyj、cyy、zdh、zy</dc:creator>
  <cp:keywords>RUL, 预测性维护, 工业轴承, 软件工程</cp:keywords>
  <dcterms:created xsi:type="dcterms:W3CDTF">2026-06-14T16:00:02Z</dcterms:created>
  <dcterms:modified xsi:type="dcterms:W3CDTF">2026-06-14T16:00:02Z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