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6" w:name="工业轴承设备剩余寿命预测系统的实现设计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工业轴承设备剩余寿命预测系统的实现：设计文档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设计文档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SE-PHM-MID-06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总体架构、模块设计、接口设计、数据流和部署设计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系统设计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系统设计目标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设计目标不是实现单一模型，而是构建一套结构清晰、职责明确、便于扩展的工业轴承设备剩余寿命预测框架。具体目标如下：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屏蔽不同官方数据集的目录差异，提供统一数据抽象。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将预处理、标签构造、训练、预测、评估和展示解耦。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允许新模型或新算法在不破坏主流程的情况下接入。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支持实验记录、训练监控和结果导出。</w:t>
      </w:r>
    </w:p>
    <w:bookmarkEnd w:id="22"/>
    <w:bookmarkStart w:id="24" w:name="总体架构设计"/>
    <w:p>
      <w:pPr>
        <w:pStyle w:val="Heading2"/>
      </w:pPr>
      <w:r>
        <w:rPr>
          <w:rFonts w:ascii="宋体" w:hAnsi="宋体" w:eastAsia="宋体"/>
          <w:color w:val="000000"/>
        </w:rPr>
        <w:t xml:space="preserve">2. 总体架构设计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系统采用自底向上的分层架构：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数据接入层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XJTULoader / PHM2012Loader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数据抽象层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BearingEntity / 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预处理与特征工程层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SignalProcessor / FeatureExtractor / Pipeline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退化分析与标签构造层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RUL Labeler / Stage Labeler / HI Labeler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模型训练与预测层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Models / Trainer / Tester / Predictor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评估与展示层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Metrics / Evaluator / Visualizer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实验管理层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└─ Tracker / Callback / Serializer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该架构的优点在于数据、算法和展示可以独立演化，同时保证主流程仍然稳定。</w:t>
      </w:r>
    </w:p>
    <w:bookmarkStart w:id="23" w:name="总体架构说明"/>
    <w:p>
      <w:pPr>
        <w:pStyle w:val="Heading3"/>
      </w:pPr>
      <w:r>
        <w:rPr>
          <w:rFonts w:ascii="宋体" w:hAnsi="宋体" w:eastAsia="宋体"/>
          <w:color w:val="000000"/>
        </w:rPr>
        <w:t xml:space="preserve">2.1 总体架构说明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系统总体架构围绕 RUL 预测数据流组织，而不是围绕某一个模型组织。设计上分为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数据接入、特征标签、模型训练、评价展示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四个主层：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层次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输入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输出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主要设计原则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官方数据目录、示例数据目录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统一轴承实体、通道数据、元数据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数据集差异只在 loader 内处理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特征标签层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振动快照、采样率、寿命终点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19 维特征、特征序列、RUL 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特征有物理含义，标签单位可追溯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特征序列、标签、训练配置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模型参数、history、预测结果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训练、测试、记录职责分离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评价展示层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target、prediction、训练日志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指标表、曲线图、notebook、报告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指标区分普通误差、论文 score 和方向偏差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这种结构的关键好处是：如果后续增加新数据集，只需要新增 loader；如果增加新模型，只需要遵循训练输入输出约定；如果更新指标，不影响数据和模型代码。</w:t>
      </w:r>
    </w:p>
    <w:bookmarkEnd w:id="23"/>
    <w:bookmarkEnd w:id="24"/>
    <w:bookmarkStart w:id="30" w:name="功能模块设计"/>
    <w:p>
      <w:pPr>
        <w:pStyle w:val="Heading2"/>
      </w:pPr>
      <w:r>
        <w:rPr>
          <w:rFonts w:ascii="宋体" w:hAnsi="宋体" w:eastAsia="宋体"/>
          <w:color w:val="000000"/>
        </w:rPr>
        <w:t xml:space="preserve">3. 功能模块设计</w:t>
      </w:r>
    </w:p>
    <w:bookmarkStart w:id="25" w:name="m1-数据接入与管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3.1 M1 数据接入与管理模块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该模块负责将不同数据集目录组织映射为统一实体对象。设计要点如下：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BaseBearingLoader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定义统一接口。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具体 loader 负责识别目录、解析文件和补充元数据。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作为统一的数据实体，保存样本、采样率、通道和元信息。</w:t>
      </w:r>
    </w:p>
    <w:bookmarkEnd w:id="25"/>
    <w:bookmarkStart w:id="26" w:name="m2-预处理与特征工程模块"/>
    <w:p>
      <w:pPr>
        <w:pStyle w:val="Heading3"/>
      </w:pPr>
      <w:r>
        <w:rPr>
          <w:rFonts w:ascii="宋体" w:hAnsi="宋体" w:eastAsia="宋体"/>
          <w:color w:val="000000"/>
        </w:rPr>
        <w:t xml:space="preserve">3.2 M2 预处理与特征工程模块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该模块负责将原始信号转换为可训练输入。设计要点如下：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使用滑动窗口将长序列切分为样本窗口。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支持归一化、标准化等基础变换。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支持时域和频域特征提取。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预处理管道可按步骤组合，避免固定死流程。</w:t>
      </w:r>
    </w:p>
    <w:bookmarkEnd w:id="26"/>
    <w:bookmarkStart w:id="27" w:name="m3-退化阶段划分与标签构造模块"/>
    <w:p>
      <w:pPr>
        <w:pStyle w:val="Heading3"/>
      </w:pPr>
      <w:r>
        <w:rPr>
          <w:rFonts w:ascii="宋体" w:hAnsi="宋体" w:eastAsia="宋体"/>
          <w:color w:val="000000"/>
        </w:rPr>
        <w:t xml:space="preserve">3.3 M3 退化阶段划分与标签构造模块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该模块负责为不同任务生成目标值。设计要点如下：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RUL 标签构造面向回归任务。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 和 FPT 面向退化阶段辅助分析任务。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健康指标序列构造面向滚动预测任务。</w:t>
      </w:r>
    </w:p>
    <w:bookmarkEnd w:id="27"/>
    <w:bookmarkStart w:id="28" w:name="m4-模型训练与预测模块"/>
    <w:p>
      <w:pPr>
        <w:pStyle w:val="Heading3"/>
      </w:pPr>
      <w:r>
        <w:rPr>
          <w:rFonts w:ascii="宋体" w:hAnsi="宋体" w:eastAsia="宋体"/>
          <w:color w:val="000000"/>
        </w:rPr>
        <w:t xml:space="preserve">3.4 M4 模型训练与预测模块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该模块是系统核心。设计要点如下：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模型统一继承基础接口，暴露输入输出维度和监控状态。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训练器负责批量训练、验证和回调触发。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预测器负责直接预测、滚动预测和不确定性估计。</w:t>
      </w:r>
    </w:p>
    <w:bookmarkEnd w:id="28"/>
    <w:bookmarkStart w:id="29" w:name="m5-评估可视化与实验管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3.5 M5 评估、可视化与实验管理模块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评估器聚合多个指标。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可视化模块输出图表。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实验管理模块统一记录配置、历史、日志、模型和结果。</w:t>
      </w:r>
    </w:p>
    <w:bookmarkEnd w:id="29"/>
    <w:bookmarkEnd w:id="30"/>
    <w:bookmarkStart w:id="31" w:name="数据流设计"/>
    <w:p>
      <w:pPr>
        <w:pStyle w:val="Heading2"/>
      </w:pPr>
      <w:r>
        <w:rPr>
          <w:rFonts w:ascii="宋体" w:hAnsi="宋体" w:eastAsia="宋体"/>
          <w:color w:val="000000"/>
        </w:rPr>
        <w:t xml:space="preserve">4. 数据流设计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系统数据流从原始数据到最终产物依次经过以下阶段：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原始数据文件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预处理 / 特征提取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BearingWindowDataset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训练 / 预测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预测结果与指标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↓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图表、日志、配置、检查点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设计上要求每一步都能被导出或检查，避免出现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中间状态不可见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的问题。</w:t>
      </w:r>
    </w:p>
    <w:bookmarkEnd w:id="31"/>
    <w:bookmarkStart w:id="32" w:name="数据库与数据文件设计"/>
    <w:p>
      <w:pPr>
        <w:pStyle w:val="Heading2"/>
      </w:pPr>
      <w:r>
        <w:rPr>
          <w:rFonts w:ascii="宋体" w:hAnsi="宋体" w:eastAsia="宋体"/>
          <w:color w:val="000000"/>
        </w:rPr>
        <w:t xml:space="preserve">5. 数据库与数据文件设计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项目不引入关系型数据库，主要使用目录式文件组织。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典型格式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原始数据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官方数据集压缩包或解压目录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zip、rar、csv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中间数据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标签化数据集、缓存特征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csv、pkl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训练产物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模型检查点、历史记录、配置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pt、json、yaml、csv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结果图表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曲线图、热图、误差分布图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png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这种设计便于课程项目交付，也降低了数据库维护成本。</w:t>
      </w:r>
    </w:p>
    <w:bookmarkEnd w:id="32"/>
    <w:bookmarkStart w:id="37" w:name="核心算法设计"/>
    <w:p>
      <w:pPr>
        <w:pStyle w:val="Heading2"/>
      </w:pPr>
      <w:r>
        <w:rPr>
          <w:rFonts w:ascii="宋体" w:hAnsi="宋体" w:eastAsia="宋体"/>
          <w:color w:val="000000"/>
        </w:rPr>
        <w:t xml:space="preserve">6. 核心算法设计</w:t>
      </w:r>
    </w:p>
    <w:bookmarkStart w:id="33" w:name="预处理算法"/>
    <w:p>
      <w:pPr>
        <w:pStyle w:val="Heading3"/>
      </w:pPr>
      <w:r>
        <w:rPr>
          <w:rFonts w:ascii="宋体" w:hAnsi="宋体" w:eastAsia="宋体"/>
          <w:color w:val="000000"/>
        </w:rPr>
        <w:t xml:space="preserve">6.1 预处理算法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滑动窗口：按照窗口长度和步长切分序列。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归一化：在窗口级或样本级进行缩放。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频域分析：对窗口做 FFT 并提取主频和能量。</w:t>
      </w:r>
    </w:p>
    <w:bookmarkEnd w:id="33"/>
    <w:bookmarkStart w:id="34" w:name="退化阶段划分算法"/>
    <w:p>
      <w:pPr>
        <w:pStyle w:val="Heading3"/>
      </w:pPr>
      <w:r>
        <w:rPr>
          <w:rFonts w:ascii="宋体" w:hAnsi="宋体" w:eastAsia="宋体"/>
          <w:color w:val="000000"/>
        </w:rPr>
        <w:t xml:space="preserve">6.2 退化阶段划分算法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3sigma：基于健康指标偏离基线的统计阈值定义阶段。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FPT：识别首次稳定偏离健康状态的时刻，作为可预测点。</w:t>
      </w:r>
    </w:p>
    <w:bookmarkEnd w:id="34"/>
    <w:bookmarkStart w:id="35" w:name="预测算法"/>
    <w:p>
      <w:pPr>
        <w:pStyle w:val="Heading3"/>
      </w:pPr>
      <w:r>
        <w:rPr>
          <w:rFonts w:ascii="宋体" w:hAnsi="宋体" w:eastAsia="宋体"/>
          <w:color w:val="000000"/>
        </w:rPr>
        <w:t xml:space="preserve">6.3 预测算法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CNN：提取局部退化模式。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RNN：建模时间依赖关系。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Transformer：通过注意力建模中长序列关系。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Monte Carlo Dropout：多次采样获得均值和方差。</w:t>
      </w:r>
    </w:p>
    <w:bookmarkEnd w:id="35"/>
    <w:bookmarkStart w:id="36" w:name="特征序列与-rul-标签设计"/>
    <w:p>
      <w:pPr>
        <w:pStyle w:val="Heading3"/>
      </w:pPr>
      <w:r>
        <w:rPr>
          <w:rFonts w:ascii="宋体" w:hAnsi="宋体" w:eastAsia="宋体"/>
          <w:color w:val="000000"/>
        </w:rPr>
        <w:t xml:space="preserve">6.4 特征序列与 RUL 标签设计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特征序列构造流程如下：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按轴承编号读取原始快照，并保持时间顺序。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对每个快照提取时域和频域统计特征，形成 feature vector。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使用固定长度窗口将连续 feature vector 组织为 feature sequence。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根据当前窗口末端到寿命终点的距离生成 RUL 标签。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将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(feature_sequence, rul_target, metadata)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交给模型训练模块。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该设计避免了两个常见问题：一是把相邻时间点随机打乱导致数据泄漏；二是只使用单个快照导致模型看不到退化趋势。对于 XJTU-SY 和 PHM2012，loader 可以分别解释时间单位，但训练模块只依赖统一的序列张量和 RUL 标签。</w:t>
      </w:r>
    </w:p>
    <w:bookmarkEnd w:id="36"/>
    <w:bookmarkEnd w:id="37"/>
    <w:bookmarkStart w:id="41" w:name="接口设计"/>
    <w:p>
      <w:pPr>
        <w:pStyle w:val="Heading2"/>
      </w:pPr>
      <w:r>
        <w:rPr>
          <w:rFonts w:ascii="宋体" w:hAnsi="宋体" w:eastAsia="宋体"/>
          <w:color w:val="000000"/>
        </w:rPr>
        <w:t xml:space="preserve">7. 接口设计</w:t>
      </w:r>
    </w:p>
    <w:bookmarkStart w:id="38" w:name="数据接口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数据接口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loader 接口：</w:t>
      </w:r>
      <w:r>
        <w:rPr>
          <w:rStyle w:val="VerbatimChar"/>
          <w:rFonts w:ascii="宋体" w:hAnsi="宋体" w:eastAsia="宋体"/>
          <w:color w:val="000000"/>
        </w:rPr>
        <w:t xml:space="preserve">list_entities()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load_entity(entity_id)</w:t>
      </w:r>
    </w:p>
    <w:p>
      <w:pPr>
        <w:numPr>
          <w:ilvl w:val="0"/>
          <w:numId w:val="101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dataset 接口：</w:t>
      </w:r>
      <w:r>
        <w:rPr>
          <w:rStyle w:val="VerbatimChar"/>
          <w:rFonts w:ascii="宋体" w:hAnsi="宋体" w:eastAsia="宋体"/>
          <w:color w:val="000000"/>
        </w:rPr>
        <w:t xml:space="preserve">split_by_ratio()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export()</w:t>
      </w:r>
    </w:p>
    <w:bookmarkEnd w:id="38"/>
    <w:bookmarkStart w:id="39" w:name="训练接口"/>
    <w:p>
      <w:pPr>
        <w:pStyle w:val="Heading3"/>
      </w:pPr>
      <w:r>
        <w:rPr>
          <w:rFonts w:ascii="宋体" w:hAnsi="宋体" w:eastAsia="宋体"/>
          <w:color w:val="000000"/>
        </w:rPr>
        <w:t xml:space="preserve">7.2 训练接口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trainer 接口：</w:t>
      </w:r>
      <w:r>
        <w:rPr>
          <w:rStyle w:val="VerbatimChar"/>
          <w:rFonts w:ascii="宋体" w:hAnsi="宋体" w:eastAsia="宋体"/>
          <w:color w:val="000000"/>
        </w:rPr>
        <w:t xml:space="preserve">train(model, train_set, valid_set)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tester 接口：</w:t>
      </w:r>
      <w:r>
        <w:rPr>
          <w:rStyle w:val="VerbatimChar"/>
          <w:rFonts w:ascii="宋体" w:hAnsi="宋体" w:eastAsia="宋体"/>
          <w:color w:val="000000"/>
        </w:rPr>
        <w:t xml:space="preserve">test(model, test_set)</w:t>
      </w:r>
    </w:p>
    <w:p>
      <w:pPr>
        <w:numPr>
          <w:ilvl w:val="0"/>
          <w:numId w:val="101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callback 接口：训练开始、批次结束、epoch 结束等生命周期钩子</w:t>
      </w:r>
    </w:p>
    <w:bookmarkEnd w:id="39"/>
    <w:bookmarkStart w:id="40" w:name="评估与展示接口"/>
    <w:p>
      <w:pPr>
        <w:pStyle w:val="Heading3"/>
      </w:pPr>
      <w:r>
        <w:rPr>
          <w:rFonts w:ascii="宋体" w:hAnsi="宋体" w:eastAsia="宋体"/>
          <w:color w:val="000000"/>
        </w:rPr>
        <w:t xml:space="preserve">7.3 评估与展示接口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evaluator：统一注册多个指标并执行评估</w:t>
      </w:r>
    </w:p>
    <w:p>
      <w:pPr>
        <w:numPr>
          <w:ilvl w:val="0"/>
          <w:numId w:val="101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visualizer：导出图表文件和展示结果</w:t>
      </w:r>
    </w:p>
    <w:bookmarkEnd w:id="40"/>
    <w:bookmarkEnd w:id="41"/>
    <w:bookmarkStart w:id="42" w:name="系统运行流程设计"/>
    <w:p>
      <w:pPr>
        <w:pStyle w:val="Heading2"/>
      </w:pPr>
      <w:r>
        <w:rPr>
          <w:rFonts w:ascii="宋体" w:hAnsi="宋体" w:eastAsia="宋体"/>
          <w:color w:val="000000"/>
        </w:rPr>
        <w:t xml:space="preserve">8. 系统运行流程设计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一次标准运行流程如下：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选择数据集并加载实体。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选择预处理参数和标签构造方式。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划分训练集和测试集。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选择模型、训练器和回调。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训练并记录过程。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运行测试与评估。</w:t>
      </w:r>
    </w:p>
    <w:p>
      <w:pPr>
        <w:numPr>
          <w:ilvl w:val="0"/>
          <w:numId w:val="101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导出图表、日志和模型文件。</w:t>
      </w:r>
    </w:p>
    <w:bookmarkEnd w:id="42"/>
    <w:bookmarkStart w:id="43" w:name="异常处理设计"/>
    <w:p>
      <w:pPr>
        <w:pStyle w:val="Heading2"/>
      </w:pPr>
      <w:r>
        <w:rPr>
          <w:rFonts w:ascii="宋体" w:hAnsi="宋体" w:eastAsia="宋体"/>
          <w:color w:val="000000"/>
        </w:rPr>
        <w:t xml:space="preserve">9. 异常处理设计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场景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处理方式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数据路径不存在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抛出明确异常并提示路径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文件列格式异常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尝试数值化并过滤非法行，失败时给出说明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训练过程中梯度异常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记录告警并输出日志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导出目录不存在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自动创建目录后再导出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异常处理设计原则是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尽可能给出明确错误，不做静默吞错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bookmarkEnd w:id="43"/>
    <w:bookmarkStart w:id="44" w:name="部署设计"/>
    <w:p>
      <w:pPr>
        <w:pStyle w:val="Heading2"/>
      </w:pPr>
      <w:r>
        <w:rPr>
          <w:rFonts w:ascii="宋体" w:hAnsi="宋体" w:eastAsia="宋体"/>
          <w:color w:val="000000"/>
        </w:rPr>
        <w:t xml:space="preserve">10. 部署设计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项目部署方式以本地运行和课程演示为主。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 uv 安装依赖并创建环境。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python main.py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运行主示例。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uv run pytest -q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运行自动化测试。</w:t>
      </w:r>
    </w:p>
    <w:p>
      <w:pPr>
        <w:numPr>
          <w:ilvl w:val="0"/>
          <w:numId w:val="101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通过 Pandoc 将文档导出为 PDF。</w:t>
      </w:r>
    </w:p>
    <w:bookmarkEnd w:id="44"/>
    <w:bookmarkStart w:id="45" w:name="设计总结"/>
    <w:p>
      <w:pPr>
        <w:pStyle w:val="Heading2"/>
      </w:pPr>
      <w:r>
        <w:rPr>
          <w:rFonts w:ascii="宋体" w:hAnsi="宋体" w:eastAsia="宋体"/>
          <w:color w:val="000000"/>
        </w:rPr>
        <w:t xml:space="preserve">11. 设计总结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本设计文档的核心思想是以统一数据抽象和统一训练框架为中心，将数据、模型、评估和展示有机串联起来。这样既能满足课程项目的规范要求，也便于后续继续扩展新的算法和数据源。</w:t>
      </w:r>
    </w:p>
    <w:bookmarkEnd w:id="45"/>
    <w:bookmarkEnd w:id="46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06_设计文档</dc:title>
  <dc:creator>zyj、cyy、zdh、zy</dc:creator>
  <cp:keywords>RUL, 预测性维护, 工业轴承, 软件工程</cp:keywords>
  <dcterms:created xsi:type="dcterms:W3CDTF">2026-06-14T15:59:28Z</dcterms:created>
  <dcterms:modified xsi:type="dcterms:W3CDTF">2026-06-14T15:59:28Z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