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工业轴承设备剩余寿命预测系统的实现集成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跨模块集成链路、联调策略和通过准则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集成测试的目标是验证模块之间的协作是否正确，而不是单独验证某个函数。对于本项目，关键在于确认数据导入、预处理、标签构造、训练、评估和可视化能够按预期串联。</w:t>
      </w:r>
    </w:p>
    <w:bookmarkEnd w:id="22"/>
    <w:bookmarkStart w:id="23" w:name="集成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集成测试覆盖以下跨模块流程：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数据集加载到标签构造流程。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标签构造到模型训练流程。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训练到评估与结果导出流程。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评估到可视化展示流程。</w:t>
      </w:r>
    </w:p>
    <w:bookmarkEnd w:id="23"/>
    <w:bookmarkStart w:id="24" w:name="模块集成关系说明"/>
    <w:p>
      <w:pPr>
        <w:pStyle w:val="Heading2"/>
      </w:pPr>
      <w:r>
        <w:rPr>
          <w:rFonts w:ascii="宋体" w:hAnsi="宋体" w:eastAsia="宋体"/>
          <w:color w:val="000000"/>
        </w:rPr>
        <w:t xml:space="preserve">3. 模块集成关系说明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Entity / 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Preprocess / Feature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Trainer / Model / Callback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Evaluator / Visualizer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模块关系的核心在于输入输出对象必须统一，任何一个环节的字段或形状变化都可能导致后续流程失效。</w:t>
      </w:r>
    </w:p>
    <w:bookmarkEnd w:id="24"/>
    <w:bookmarkStart w:id="25" w:name="集成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集成测试环境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 + 真实数据小样本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pytest、TensorBoard、Pandoc（文档链路验证）</w:t>
            </w:r>
          </w:p>
        </w:tc>
      </w:tr>
    </w:tbl>
    <w:bookmarkEnd w:id="25"/>
    <w:bookmarkStart w:id="26" w:name="集成测试策略"/>
    <w:p>
      <w:pPr>
        <w:pStyle w:val="Heading2"/>
      </w:pPr>
      <w:r>
        <w:rPr>
          <w:rFonts w:ascii="宋体" w:hAnsi="宋体" w:eastAsia="宋体"/>
          <w:color w:val="000000"/>
        </w:rPr>
        <w:t xml:space="preserve">5. 集成测试策略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项目采用增量集成策略：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先集成数据主线：loader、entity、preprocess、labeler。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再集成训练主线：model、trainer、callback、tester。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最后集成结果主线：evaluator、visualizer、serializer。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这种策略便于快速定位问题来源，避免一次性接太多模块导致排错困难。</w:t>
      </w:r>
    </w:p>
    <w:bookmarkEnd w:id="26"/>
    <w:bookmarkStart w:id="30" w:name="核心业务流程测试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核心业务流程测试</w:t>
      </w:r>
    </w:p>
    <w:bookmarkStart w:id="27" w:name="rul-回归流程"/>
    <w:p>
      <w:pPr>
        <w:pStyle w:val="Heading3"/>
      </w:pPr>
      <w:r>
        <w:rPr>
          <w:rFonts w:ascii="宋体" w:hAnsi="宋体" w:eastAsia="宋体"/>
          <w:color w:val="000000"/>
        </w:rPr>
        <w:t xml:space="preserve">6.1 RUL 回归流程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加载真实或合成轴承数据。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 RUL 数据集。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CNN 或 RNN 模型。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导出预测曲线和结果文件。</w:t>
      </w:r>
    </w:p>
    <w:bookmarkEnd w:id="27"/>
    <w:bookmarkStart w:id="28" w:name="退化阶段标注与可视化流程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退化阶段标注与可视化流程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加载轴承数据。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3sigma 或 FPT 划分阶段。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构造退化阶段标注数据集。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生成退化阶段标注并训练序列预测或可视化模型。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导出误差分布图和退化阶段图。</w:t>
      </w:r>
    </w:p>
    <w:bookmarkEnd w:id="28"/>
    <w:bookmarkStart w:id="29" w:name="健康指标滚动预测流程"/>
    <w:p>
      <w:pPr>
        <w:pStyle w:val="Heading3"/>
      </w:pPr>
      <w:r>
        <w:rPr>
          <w:rFonts w:ascii="宋体" w:hAnsi="宋体" w:eastAsia="宋体"/>
          <w:color w:val="000000"/>
        </w:rPr>
        <w:t xml:space="preserve">6.3 健康指标滚动预测流程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先生成健康指标序列。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构造序列预测数据集。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RollingPredictor 进行单步或多步预测。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检查预测结果长度和导出文件。</w:t>
      </w:r>
    </w:p>
    <w:bookmarkEnd w:id="29"/>
    <w:bookmarkEnd w:id="30"/>
    <w:bookmarkStart w:id="32" w:name="数据流转测试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数据流转测试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集成测试中需要重点检查以下数据流转节点：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输出的实体对象是否包含后续所需元数据。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labeler 输出的数据集是否能被 trainer 直接消费。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输出的预测结果是否能被 evaluator 和 visualizer 复用。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experiment tracker 是否能正确保存训练配置和结果。</w:t>
      </w:r>
    </w:p>
    <w:bookmarkStart w:id="31" w:name="端到端数据流检查点"/>
    <w:p>
      <w:pPr>
        <w:pStyle w:val="Heading3"/>
      </w:pPr>
      <w:r>
        <w:rPr>
          <w:rFonts w:ascii="宋体" w:hAnsi="宋体" w:eastAsia="宋体"/>
          <w:color w:val="000000"/>
        </w:rPr>
        <w:t xml:space="preserve">7.1 端到端数据流检查点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上游模块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下游模块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轴承编号、通道、采样率、快照顺序是否完整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特征列数量、缺失值处理、序列长度是否符合配置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predictions 中 target/prediction 是否成对存在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RMSE、Score、样本数和 epoch 是否落盘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图表标题、轴标签、数据集名称是否清楚</w:t>
            </w:r>
          </w:p>
        </w:tc>
      </w:tr>
    </w:tbl>
    <w:bookmarkEnd w:id="31"/>
    <w:bookmarkEnd w:id="32"/>
    <w:bookmarkStart w:id="33" w:name="接口联调测试"/>
    <w:p>
      <w:pPr>
        <w:pStyle w:val="Heading2"/>
      </w:pPr>
      <w:r>
        <w:rPr>
          <w:rFonts w:ascii="宋体" w:hAnsi="宋体" w:eastAsia="宋体"/>
          <w:color w:val="000000"/>
        </w:rPr>
        <w:t xml:space="preserve">8. 接口联调测试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+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通道选择、样本窗口和标签长度一致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 + 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生命周期事件正确触发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tester +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预测结果字段满足指标计算要求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evaluator + 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指标与图表的输入口径一致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tracker + 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配置、历史和结果文件能完整保存</w:t>
            </w:r>
          </w:p>
        </w:tc>
      </w:tr>
    </w:tbl>
    <w:bookmarkEnd w:id="33"/>
    <w:bookmarkStart w:id="34" w:name="缺陷处理机制"/>
    <w:p>
      <w:pPr>
        <w:pStyle w:val="Heading2"/>
      </w:pPr>
      <w:r>
        <w:rPr>
          <w:rFonts w:ascii="宋体" w:hAnsi="宋体" w:eastAsia="宋体"/>
          <w:color w:val="000000"/>
        </w:rPr>
        <w:t xml:space="preserve">9. 缺陷处理机制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集成测试发现问题后，优先判断是接口定义错误还是单模块实现错误。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若是接口问题，先修正文档和统一对象结构，再修实现。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若是实现问题，修复后需回归对应单元测试和当前集成测试。</w:t>
      </w:r>
    </w:p>
    <w:bookmarkEnd w:id="34"/>
    <w:bookmarkStart w:id="35" w:name="测试进度安排"/>
    <w:p>
      <w:pPr>
        <w:pStyle w:val="Heading2"/>
      </w:pPr>
      <w:r>
        <w:rPr>
          <w:rFonts w:ascii="宋体" w:hAnsi="宋体" w:eastAsia="宋体"/>
          <w:color w:val="000000"/>
        </w:rPr>
        <w:t xml:space="preserve">10. 测试进度安排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冻结关键接口，准备集成数据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训练主链路集成测试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指标、图表和实验记录联调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验收前回归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关键流程回归测试</w:t>
            </w:r>
          </w:p>
        </w:tc>
      </w:tr>
    </w:tbl>
    <w:bookmarkEnd w:id="35"/>
    <w:bookmarkStart w:id="36" w:name="通过准则"/>
    <w:p>
      <w:pPr>
        <w:pStyle w:val="Heading2"/>
      </w:pPr>
      <w:r>
        <w:rPr>
          <w:rFonts w:ascii="宋体" w:hAnsi="宋体" w:eastAsia="宋体"/>
          <w:color w:val="000000"/>
        </w:rPr>
        <w:t xml:space="preserve">11. 通过准则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集成测试通过需满足以下条件：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三条核心业务流程至少各通过一轮。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接口联调用例全部通过。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无阻塞性缺陷残留。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图表、日志和结果文件成功输出。</w:t>
      </w:r>
    </w:p>
    <w:bookmarkEnd w:id="36"/>
    <w:bookmarkStart w:id="37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集成测试的作用在于证明系统不是一组孤立模块，而是一条可以真实运行的业务链路。对本项目而言，集成测试是从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模块可用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走向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系统可交付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的关键阶段。</w:t>
      </w:r>
    </w:p>
    <w:bookmarkEnd w:id="37"/>
    <w:bookmarkEnd w:id="3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08_集成测试计划文档</dc:title>
  <dc:creator>zyj、cyy、zdh、zy</dc:creator>
  <cp:keywords>RUL, 预测性维护, 工业轴承, 软件工程</cp:keywords>
  <dcterms:created xsi:type="dcterms:W3CDTF">2026-06-14T15:59:37Z</dcterms:created>
  <dcterms:modified xsi:type="dcterms:W3CDTF">2026-06-14T15:59:37Z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