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工业轴承设备剩余寿命预测系统的实现srs-软件需求规格说明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工业轴承设备剩余寿命预测系统的实现：SRS 软件需求规格说明文档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SRS 软件需求规格说明文档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SE-PHM-PROP-05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IEEE 830 风格需求规格、接口、约束和追踪矩阵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5" w:name="引言"/>
    <w:p>
      <w:pPr>
        <w:pStyle w:val="Heading2"/>
      </w:pPr>
      <w:r>
        <w:rPr>
          <w:rFonts w:ascii="宋体" w:hAnsi="宋体" w:eastAsia="宋体"/>
          <w:color w:val="000000"/>
        </w:rPr>
        <w:t xml:space="preserve">1. 引言</w:t>
      </w:r>
    </w:p>
    <w:bookmarkStart w:id="22" w:name="编写目的"/>
    <w:p>
      <w:pPr>
        <w:pStyle w:val="Heading3"/>
      </w:pPr>
      <w:r>
        <w:rPr>
          <w:rFonts w:ascii="宋体" w:hAnsi="宋体" w:eastAsia="宋体"/>
          <w:color w:val="000000"/>
        </w:rPr>
        <w:t xml:space="preserve">1.1 编写目的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本文档用于以规格化方式描述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的软件需求，为后续设计、实现、测试和验收提供正式依据。文档目标包括：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明确系统范围和边界。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编号化定义功能需求、接口需求和非功能需求。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建立需求与测试之间的映射基础。</w:t>
      </w:r>
    </w:p>
    <w:bookmarkEnd w:id="22"/>
    <w:bookmarkStart w:id="23" w:name="项目范围"/>
    <w:p>
      <w:pPr>
        <w:pStyle w:val="Heading3"/>
      </w:pPr>
      <w:r>
        <w:rPr>
          <w:rFonts w:ascii="宋体" w:hAnsi="宋体" w:eastAsia="宋体"/>
          <w:color w:val="000000"/>
        </w:rPr>
        <w:t xml:space="preserve">1.2 项目范围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本项目面向课程场景，构建一套可运行的工业轴承设备剩余寿命预测实验系统。系统支持真实轴承数据集接入、数据预处理、退化阶段划分、RUL 预测、训练监控、结果评估和实验可视化，并保留失效概率/生存分析的基础接口作为预测性维护视角补充。系统不包含在线工业控制系统、云端多租户平台和实时数据采集硬件接口。</w:t>
      </w:r>
    </w:p>
    <w:bookmarkEnd w:id="23"/>
    <w:bookmarkStart w:id="24" w:name="术语定义"/>
    <w:p>
      <w:pPr>
        <w:pStyle w:val="Heading3"/>
      </w:pPr>
      <w:r>
        <w:rPr>
          <w:rFonts w:ascii="宋体" w:hAnsi="宋体" w:eastAsia="宋体"/>
          <w:color w:val="000000"/>
        </w:rPr>
        <w:t xml:space="preserve">1.3 术语定义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术语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定义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Remaining Useful Life，剩余寿命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FPT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First Predictable Time，首次可预测时刻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HI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Health Indicator，健康指标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Callback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在训练特定阶段被调用的扩展逻辑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TensorBoard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用于记录训练曲线、梯度和参数统计的工具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用于轴承寿命预测的惩罚型评分指标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PHM/RUL 非对称惩罚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常用寿命预测非对称惩罚型指标</w:t>
            </w:r>
          </w:p>
        </w:tc>
      </w:tr>
    </w:tbl>
    <w:bookmarkEnd w:id="24"/>
    <w:bookmarkEnd w:id="25"/>
    <w:bookmarkStart w:id="30" w:name="总体描述"/>
    <w:p>
      <w:pPr>
        <w:pStyle w:val="Heading2"/>
      </w:pPr>
      <w:r>
        <w:rPr>
          <w:rFonts w:ascii="宋体" w:hAnsi="宋体" w:eastAsia="宋体"/>
          <w:color w:val="000000"/>
        </w:rPr>
        <w:t xml:space="preserve">2. 总体描述</w:t>
      </w:r>
    </w:p>
    <w:bookmarkStart w:id="26" w:name="产品定位"/>
    <w:p>
      <w:pPr>
        <w:pStyle w:val="Heading3"/>
      </w:pPr>
      <w:r>
        <w:rPr>
          <w:rFonts w:ascii="宋体" w:hAnsi="宋体" w:eastAsia="宋体"/>
          <w:color w:val="000000"/>
        </w:rPr>
        <w:t xml:space="preserve">2.1 产品定位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本系统定位为课程项目与实验复现平台。相比单一算法脚本，系统强调统一的数据抽象、可配置训练流程、实验管理与可视化输出。</w:t>
      </w:r>
    </w:p>
    <w:bookmarkEnd w:id="26"/>
    <w:bookmarkStart w:id="27" w:name="用户特征"/>
    <w:p>
      <w:pPr>
        <w:pStyle w:val="Heading3"/>
      </w:pPr>
      <w:r>
        <w:rPr>
          <w:rFonts w:ascii="宋体" w:hAnsi="宋体" w:eastAsia="宋体"/>
          <w:color w:val="000000"/>
        </w:rPr>
        <w:t xml:space="preserve">2.2 用户特征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开发者具备基础 Python 能力，希望在现有框架上增加模型或特征。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测试人员需要能够独立运行测试，验证模块之间的数据流转是否正确。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评审人员关注系统完整性、文档规范性和可演示性。</w:t>
      </w:r>
    </w:p>
    <w:bookmarkEnd w:id="27"/>
    <w:bookmarkStart w:id="28" w:name="假设与依赖"/>
    <w:p>
      <w:pPr>
        <w:pStyle w:val="Heading3"/>
      </w:pPr>
      <w:r>
        <w:rPr>
          <w:rFonts w:ascii="宋体" w:hAnsi="宋体" w:eastAsia="宋体"/>
          <w:color w:val="000000"/>
        </w:rPr>
        <w:t xml:space="preserve">2.3 假设与依赖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用户能够提供本地真实数据目录或使用项目内合成数据。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运行环境安装 Python 3.11+ 和 uv。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训练任务默认在个人开发设备上运行，不依赖分布式训练。</w:t>
      </w:r>
    </w:p>
    <w:bookmarkEnd w:id="28"/>
    <w:bookmarkStart w:id="29" w:name="约束条件"/>
    <w:p>
      <w:pPr>
        <w:pStyle w:val="Heading3"/>
      </w:pPr>
      <w:r>
        <w:rPr>
          <w:rFonts w:ascii="宋体" w:hAnsi="宋体" w:eastAsia="宋体"/>
          <w:color w:val="000000"/>
        </w:rPr>
        <w:t xml:space="preserve">2.4 约束条件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开发语言统一为 Python。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环境管理统一采用 uv。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项目内部模块命名和目录结构应遵循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USTC.SSE.BearingPrediction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命名空间。</w:t>
      </w:r>
    </w:p>
    <w:bookmarkEnd w:id="29"/>
    <w:bookmarkEnd w:id="30"/>
    <w:bookmarkStart w:id="47" w:name="具体需求"/>
    <w:p>
      <w:pPr>
        <w:pStyle w:val="Heading2"/>
      </w:pPr>
      <w:r>
        <w:rPr>
          <w:rFonts w:ascii="宋体" w:hAnsi="宋体" w:eastAsia="宋体"/>
          <w:color w:val="000000"/>
        </w:rPr>
        <w:t xml:space="preserve">3. 具体需求</w:t>
      </w:r>
    </w:p>
    <w:bookmarkStart w:id="36" w:name="功能需求"/>
    <w:p>
      <w:pPr>
        <w:pStyle w:val="Heading3"/>
      </w:pPr>
      <w:r>
        <w:rPr>
          <w:rFonts w:ascii="宋体" w:hAnsi="宋体" w:eastAsia="宋体"/>
          <w:color w:val="000000"/>
        </w:rPr>
        <w:t xml:space="preserve">3.1 功能需求</w:t>
      </w:r>
    </w:p>
    <w:bookmarkStart w:id="31" w:name="数据接入与管理需求"/>
    <w:p>
      <w:pPr>
        <w:pStyle w:val="Heading4"/>
      </w:pPr>
      <w:r>
        <w:rPr>
          <w:rFonts w:ascii="宋体" w:hAnsi="宋体" w:eastAsia="宋体"/>
          <w:color w:val="000000"/>
        </w:rPr>
        <w:t xml:space="preserve">3.1.1 数据接入与管理需求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需求描述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系统应支持从本地目录加载 XJTU-SY 数据集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系统应支持从本地目录加载 PHM2012 / FEMTO 数据集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系统应将单个轴承运行过程抽象为统一实体对象，至少包含样本、通道名、采样率和元数据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系统应支持将数据集和中间结果导出为 CSV 或 PKL 格式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系统应保留原始文件名、数据集来源等元数据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</w:tbl>
    <w:bookmarkEnd w:id="31"/>
    <w:bookmarkStart w:id="32" w:name="预处理与特征工程需求"/>
    <w:p>
      <w:pPr>
        <w:pStyle w:val="Heading4"/>
      </w:pPr>
      <w:r>
        <w:rPr>
          <w:rFonts w:ascii="宋体" w:hAnsi="宋体" w:eastAsia="宋体"/>
          <w:color w:val="000000"/>
        </w:rPr>
        <w:t xml:space="preserve">3.1.2 预处理与特征工程需求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需求描述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系统应支持滑动窗口切分原始信号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系统应支持归一化或标准化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RMS、方差、峰值、峭度等时域特征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FFT 相关频域特征提取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系统应支持原始序列直接建模与手工特征建模两种模式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</w:tbl>
    <w:bookmarkEnd w:id="32"/>
    <w:bookmarkStart w:id="33" w:name="退化阶段划分与标签构造需求"/>
    <w:p>
      <w:pPr>
        <w:pStyle w:val="Heading4"/>
      </w:pPr>
      <w:r>
        <w:rPr>
          <w:rFonts w:ascii="宋体" w:hAnsi="宋体" w:eastAsia="宋体"/>
          <w:color w:val="000000"/>
        </w:rPr>
        <w:t xml:space="preserve">3.1.3 退化阶段划分与标签构造需求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需求描述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FR-M3-01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RUL 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FR-M3-02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3sigma 阶段划分策略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FR-M3-03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FPT 阶段划分策略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FR-M3-04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系统应支持健康指标序列标签构造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</w:tbl>
    <w:bookmarkEnd w:id="33"/>
    <w:bookmarkStart w:id="34" w:name="模型训练与预测需求"/>
    <w:p>
      <w:pPr>
        <w:pStyle w:val="Heading4"/>
      </w:pPr>
      <w:r>
        <w:rPr>
          <w:rFonts w:ascii="宋体" w:hAnsi="宋体" w:eastAsia="宋体"/>
          <w:color w:val="000000"/>
        </w:rPr>
        <w:t xml:space="preserve">3.1.4 模型训练与预测需求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需求描述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CNN、RNN、Transformer、MLP 等模型接入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系统应支持直接预测与滚动预测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系统应提供 Monte Carlo Dropout 不确定性预测接口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系统应支持自定义 Epoch 级回调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系统应内置 EarlyStopping 回调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FR-M4-06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系统应提供 TensorBoard 回调；当本地依赖可用时输出事件日志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系统应记录梯度范数，并支持异常阈值告警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</w:tbl>
    <w:bookmarkEnd w:id="34"/>
    <w:bookmarkStart w:id="35" w:name="评估可视化与实验管理需求"/>
    <w:p>
      <w:pPr>
        <w:pStyle w:val="Heading4"/>
      </w:pPr>
      <w:r>
        <w:rPr>
          <w:rFonts w:ascii="宋体" w:hAnsi="宋体" w:eastAsia="宋体"/>
          <w:color w:val="000000"/>
        </w:rPr>
        <w:t xml:space="preserve">3.1.5 评估、可视化与实验管理需求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需求描述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MAE、MSE、RMSE、MAPE 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 PHM2012 Score 和 PHM/RUL 非对称惩罚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系统应支持误差分布图、退化阶段图、预测曲线和注意力热图导出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系统应自动记录训练配置、模型结构、采样策略、超参数和结果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系统应导出历史记录、预测结果、模型检查点和日志文件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</w:tr>
    </w:tbl>
    <w:bookmarkEnd w:id="35"/>
    <w:bookmarkEnd w:id="36"/>
    <w:bookmarkStart w:id="40" w:name="外部接口需求"/>
    <w:p>
      <w:pPr>
        <w:pStyle w:val="Heading3"/>
      </w:pPr>
      <w:r>
        <w:rPr>
          <w:rFonts w:ascii="宋体" w:hAnsi="宋体" w:eastAsia="宋体"/>
          <w:color w:val="000000"/>
        </w:rPr>
        <w:t xml:space="preserve">3.2 外部接口需求</w:t>
      </w:r>
    </w:p>
    <w:bookmarkStart w:id="37" w:name="用户接口"/>
    <w:p>
      <w:pPr>
        <w:pStyle w:val="Heading4"/>
      </w:pPr>
      <w:r>
        <w:rPr>
          <w:rFonts w:ascii="宋体" w:hAnsi="宋体" w:eastAsia="宋体"/>
          <w:color w:val="000000"/>
        </w:rPr>
        <w:t xml:space="preserve">3.2.1 用户接口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系统至少提供 Python API 调用方式，并在主程序中提供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加载数据、构建数据集、训练、测试、评估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的示例流程。</w:t>
      </w:r>
    </w:p>
    <w:bookmarkEnd w:id="37"/>
    <w:bookmarkStart w:id="38" w:name="文件接口"/>
    <w:p>
      <w:pPr>
        <w:pStyle w:val="Heading4"/>
      </w:pPr>
      <w:r>
        <w:rPr>
          <w:rFonts w:ascii="宋体" w:hAnsi="宋体" w:eastAsia="宋体"/>
          <w:color w:val="000000"/>
        </w:rPr>
        <w:t xml:space="preserve">3.2.2 文件接口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输入接口：支持读取 CSV、目录式数据集和解压后的官方数据目录。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输出接口：支持导出 CSV、PKL、JSON、YAML、PNG 和模型检查点文件。</w:t>
      </w:r>
    </w:p>
    <w:bookmarkEnd w:id="38"/>
    <w:bookmarkStart w:id="39" w:name="软件接口"/>
    <w:p>
      <w:pPr>
        <w:pStyle w:val="Heading4"/>
      </w:pPr>
      <w:r>
        <w:rPr>
          <w:rFonts w:ascii="宋体" w:hAnsi="宋体" w:eastAsia="宋体"/>
          <w:color w:val="000000"/>
        </w:rPr>
        <w:t xml:space="preserve">3.2.3 软件接口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系统依赖以下核心软件接口：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NumPy / Pandas 用于数据处理。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PyTorch 用于模型训练。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Scikit-learn 用于指标与部分基线算法。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TensorBoard 用于训练过程可视化；若本地未安装对应可选依赖，系统应能跳过 TensorBoard 验证而不影响主训练流程。</w:t>
      </w:r>
    </w:p>
    <w:bookmarkEnd w:id="39"/>
    <w:bookmarkEnd w:id="40"/>
    <w:bookmarkStart w:id="41" w:name="数据需求"/>
    <w:p>
      <w:pPr>
        <w:pStyle w:val="Heading3"/>
      </w:pPr>
      <w:r>
        <w:rPr>
          <w:rFonts w:ascii="宋体" w:hAnsi="宋体" w:eastAsia="宋体"/>
          <w:color w:val="000000"/>
        </w:rPr>
        <w:t xml:space="preserve">3.3 数据需求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数据需求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DR-01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系统应支持水平振动、垂直振动和温度等多通道数据组织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DR-02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系统应保留样本来源、时间步、窗口索引和实体标识等元数据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DR-03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系统应支持训练集、验证集和测试集划分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DR-04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系统应支持中间数据集和预测结果持久化</w:t>
            </w:r>
          </w:p>
        </w:tc>
      </w:tr>
    </w:tbl>
    <w:bookmarkEnd w:id="41"/>
    <w:bookmarkStart w:id="42" w:name="性能需求"/>
    <w:p>
      <w:pPr>
        <w:pStyle w:val="Heading3"/>
      </w:pPr>
      <w:r>
        <w:rPr>
          <w:rFonts w:ascii="宋体" w:hAnsi="宋体" w:eastAsia="宋体"/>
          <w:color w:val="000000"/>
        </w:rPr>
        <w:t xml:space="preserve">3.4 性能需求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性能需求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PR-01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小规模实验应能在个人电脑上完成训练和测试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PR-02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数据加载和预处理过程应支持离线缓存和复用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PR-03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训练过程应能实时输出关键指标，不得完全黑盒运行</w:t>
            </w:r>
          </w:p>
        </w:tc>
      </w:tr>
    </w:tbl>
    <w:bookmarkEnd w:id="42"/>
    <w:bookmarkStart w:id="43" w:name="安全性需求"/>
    <w:p>
      <w:pPr>
        <w:pStyle w:val="Heading3"/>
      </w:pPr>
      <w:r>
        <w:rPr>
          <w:rFonts w:ascii="宋体" w:hAnsi="宋体" w:eastAsia="宋体"/>
          <w:color w:val="000000"/>
        </w:rPr>
        <w:t xml:space="preserve">3.5 安全性需求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本项目不涉及网络用户登录和敏感隐私数据，但应保证：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不对原始数据文件进行破坏性修改。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导出结果不覆盖未经确认的重要文件。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对异常情况给出明确报错，避免静默失败。</w:t>
      </w:r>
    </w:p>
    <w:bookmarkEnd w:id="43"/>
    <w:bookmarkStart w:id="44" w:name="可用性需求"/>
    <w:p>
      <w:pPr>
        <w:pStyle w:val="Heading3"/>
      </w:pPr>
      <w:r>
        <w:rPr>
          <w:rFonts w:ascii="宋体" w:hAnsi="宋体" w:eastAsia="宋体"/>
          <w:color w:val="000000"/>
        </w:rPr>
        <w:t xml:space="preserve">3.6 可用性需求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主要功能应可通过统一 API 调用。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训练流程应有默认配置，便于快速运行示例。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输出图表和日志应具备可读性，便于答辩展示。</w:t>
      </w:r>
    </w:p>
    <w:bookmarkEnd w:id="44"/>
    <w:bookmarkStart w:id="45" w:name="可维护性需求"/>
    <w:p>
      <w:pPr>
        <w:pStyle w:val="Heading3"/>
      </w:pPr>
      <w:r>
        <w:rPr>
          <w:rFonts w:ascii="宋体" w:hAnsi="宋体" w:eastAsia="宋体"/>
          <w:color w:val="000000"/>
        </w:rPr>
        <w:t xml:space="preserve">3.7 可维护性需求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模块边界清晰，便于新增数据集和模型。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代码结构应与文档结构保持一致。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测试计划应能覆盖关键功能链路。</w:t>
      </w:r>
    </w:p>
    <w:bookmarkEnd w:id="45"/>
    <w:bookmarkStart w:id="46" w:name="关键需求追踪矩阵"/>
    <w:p>
      <w:pPr>
        <w:pStyle w:val="Heading3"/>
      </w:pPr>
      <w:r>
        <w:rPr>
          <w:rFonts w:ascii="宋体" w:hAnsi="宋体" w:eastAsia="宋体"/>
          <w:color w:val="000000"/>
        </w:rPr>
        <w:t xml:space="preserve">3.8 关键需求追踪矩阵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需求说明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设计/实现位置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验证方式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XJTU-SY 数据目录加载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XJTULoader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tests/test_data_io_and_loaders.py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PHM2012/FEMTO 数据目录加载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PHM2012Loader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tests/test_data_io_and_loaders.py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FR-M2-03/FR-M2-04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支持时域、频域特征提取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特征导出 notebook、单元测试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FR-M3-01/FR-M4-01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RUL 标签构造和回归训练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 pipeline 测试、真实训练记录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FR-M5-01/FR-M5-02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RUL 论文常用指标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tests/test_rul_metrics.py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FR-M4-02/FR-M4-03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支持滚动预测和不确定性预测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tests/test_prediction_modes.py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FR-M4-04/FR-M4-07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支持回调、梯度记录和异常告警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training.callbacks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training.trainer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tests/test_training_pipeline.py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FR-M4-01/FR-M5-04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CNN-LSTM-AM 复现流程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examples/06_*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、workflow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复现测试、comparison_metrics.csv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FR-M4-01/FR-M5-04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xLSTM-Transformer 复现流程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examples/07_*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、workflow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复现测试、comparison_metrics.csv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FR-M5-04/FR-M5-05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实验结果可追踪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 history、metrics、predictions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集成测试和文档检查</w:t>
            </w:r>
          </w:p>
        </w:tc>
      </w:tr>
    </w:tbl>
    <w:bookmarkEnd w:id="46"/>
    <w:bookmarkEnd w:id="47"/>
    <w:bookmarkStart w:id="51" w:name="其他需求"/>
    <w:p>
      <w:pPr>
        <w:pStyle w:val="Heading2"/>
      </w:pPr>
      <w:r>
        <w:rPr>
          <w:rFonts w:ascii="宋体" w:hAnsi="宋体" w:eastAsia="宋体"/>
          <w:color w:val="000000"/>
        </w:rPr>
        <w:t xml:space="preserve">4. 其他需求</w:t>
      </w:r>
    </w:p>
    <w:bookmarkStart w:id="48" w:name="文档需求"/>
    <w:p>
      <w:pPr>
        <w:pStyle w:val="Heading3"/>
      </w:pPr>
      <w:r>
        <w:rPr>
          <w:rFonts w:ascii="宋体" w:hAnsi="宋体" w:eastAsia="宋体"/>
          <w:color w:val="000000"/>
        </w:rPr>
        <w:t xml:space="preserve">4.1 文档需求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系统应输出与课程要求匹配的开题、需求、设计、测试、管理和编码规范文档，并保持项目名称、术语和进度安排一致。</w:t>
      </w:r>
    </w:p>
    <w:bookmarkEnd w:id="48"/>
    <w:bookmarkStart w:id="49" w:name="配置管理需求"/>
    <w:p>
      <w:pPr>
        <w:pStyle w:val="Heading3"/>
      </w:pPr>
      <w:r>
        <w:rPr>
          <w:rFonts w:ascii="宋体" w:hAnsi="宋体" w:eastAsia="宋体"/>
          <w:color w:val="000000"/>
        </w:rPr>
        <w:t xml:space="preserve">4.2 配置管理需求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系统代码和文档应纳入 Git 管理。真实数据、训练输出和模型中间文件只保留本地目录约定与来源说明，不纳入普通 Git 提交，也不作为课程文档源文件依赖。</w:t>
      </w:r>
    </w:p>
    <w:bookmarkEnd w:id="49"/>
    <w:bookmarkStart w:id="50" w:name="数据与实验约束"/>
    <w:p>
      <w:pPr>
        <w:pStyle w:val="Heading3"/>
      </w:pPr>
      <w:r>
        <w:rPr>
          <w:rFonts w:ascii="宋体" w:hAnsi="宋体" w:eastAsia="宋体"/>
          <w:color w:val="000000"/>
        </w:rPr>
        <w:t xml:space="preserve">4.3 数据与实验约束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系统不承诺在线采集工业现场数据，输入以公开数据集、本地解压目录和生成的示例数据为主。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RUL 预测结果用于课程实验和趋势分析，不作为真实工业维护的直接决策依据。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真实训练输出、原始数据和中间模型文件不纳入 Git 版本库，避免仓库体积失控。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对论文复现实验，系统复现的是论文结构、数据划分口径和指标输出流程，不声明完全复刻作者私有训练环境。</w:t>
      </w:r>
    </w:p>
    <w:bookmarkEnd w:id="50"/>
    <w:bookmarkEnd w:id="51"/>
    <w:bookmarkStart w:id="54" w:name="附录"/>
    <w:p>
      <w:pPr>
        <w:pStyle w:val="Heading2"/>
      </w:pPr>
      <w:r>
        <w:rPr>
          <w:rFonts w:ascii="宋体" w:hAnsi="宋体" w:eastAsia="宋体"/>
          <w:color w:val="000000"/>
        </w:rPr>
        <w:t xml:space="preserve">5. 附录</w:t>
      </w:r>
    </w:p>
    <w:bookmarkStart w:id="52" w:name="模块统一划分"/>
    <w:p>
      <w:pPr>
        <w:pStyle w:val="Heading3"/>
      </w:pPr>
      <w:r>
        <w:rPr>
          <w:rFonts w:ascii="宋体" w:hAnsi="宋体" w:eastAsia="宋体"/>
          <w:color w:val="000000"/>
        </w:rPr>
        <w:t xml:space="preserve">5.1 模块统一划分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后续所有文档统一使用以下模块划分：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M1 数据接入与管理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M2 预处理与特征工程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M3 退化阶段划分与标签构造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M4 模型训练与预测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M5 评估、可视化与实验管理</w:t>
      </w:r>
    </w:p>
    <w:bookmarkEnd w:id="52"/>
    <w:bookmarkStart w:id="53" w:name="统一技术栈"/>
    <w:p>
      <w:pPr>
        <w:pStyle w:val="Heading3"/>
      </w:pPr>
      <w:r>
        <w:rPr>
          <w:rFonts w:ascii="宋体" w:hAnsi="宋体" w:eastAsia="宋体"/>
          <w:color w:val="000000"/>
        </w:rPr>
        <w:t xml:space="preserve">5.2 统一技术栈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开发语言：Python 3.11+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环境管理：uv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核心依赖：NumPy、Pandas、Scikit-learn、PyTorch、Matplotlib、Seaborn、TensorBoard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可选增强：XGBoost、tsfresh、lifelines</w:t>
      </w:r>
    </w:p>
    <w:bookmarkEnd w:id="53"/>
    <w:bookmarkEnd w:id="54"/>
    <w:bookmarkEnd w:id="55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05_SRS规格说明文档</dc:title>
  <dc:creator>zyj、cyy、zdh、zy</dc:creator>
  <cp:keywords>RUL, 预测性维护, 工业轴承, 软件工程</cp:keywords>
  <dcterms:created xsi:type="dcterms:W3CDTF">2026-06-14T15:59:10Z</dcterms:created>
  <dcterms:modified xsi:type="dcterms:W3CDTF">2026-06-14T15:59:10Z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