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工业轴承设备剩余寿命预测系统的实现单元测试计划文档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工业轴承设备剩余寿命预测系统的实现：单元测试计划文档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单元测试计划文档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SE-PHM-MID-07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单元划分、用例设计、通过准则和回归策略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黑体" w:hAnsi="黑体" w:eastAsia="黑体"/>
        </w:rPr>
        <w:t xml:space="preserve">1. 测试目的</w:t>
      </w:r>
    </w:p>
    <w:p>
      <w:pPr>
        <w:pStyle w:val="FirstParagraph"/>
      </w:pPr>
      <w:r>
        <w:rPr>
          <w:rFonts w:ascii="宋体" w:hAnsi="宋体" w:eastAsia="宋体"/>
        </w:rPr>
        <w:t xml:space="preserve">单元测试的目标是验证系统中各个独立模块的行为是否符合预期，尽早发现接口错误、边界条件处理错误和回归问题。对于本项目，单元测试尤其关注数据处理正确性和训练主链路关键组件的稳定性。</w:t>
      </w:r>
    </w:p>
    <w:bookmarkEnd w:id="22"/>
    <w:bookmarkStart w:id="23" w:name="测试范围"/>
    <w:p>
      <w:pPr>
        <w:pStyle w:val="Heading2"/>
      </w:pPr>
      <w:r>
        <w:rPr>
          <w:rFonts w:ascii="黑体" w:hAnsi="黑体" w:eastAsia="黑体"/>
        </w:rPr>
        <w:t xml:space="preserve">2. 测试范围</w:t>
      </w:r>
    </w:p>
    <w:p>
      <w:pPr>
        <w:pStyle w:val="FirstParagraph"/>
      </w:pPr>
      <w:r>
        <w:rPr>
          <w:rFonts w:ascii="宋体" w:hAnsi="宋体" w:eastAsia="宋体"/>
        </w:rPr>
        <w:t xml:space="preserve">单元测试覆盖以下对象：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数据加载器与实体抽象。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预处理组件和特征提取组件。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标签构造器和阶段划分策略。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训练器、回调和预测器。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评估器和可视化导出函数。</w:t>
      </w:r>
    </w:p>
    <w:bookmarkEnd w:id="23"/>
    <w:bookmarkStart w:id="24" w:name="单元划分"/>
    <w:p>
      <w:pPr>
        <w:pStyle w:val="Heading2"/>
      </w:pPr>
      <w:r>
        <w:rPr>
          <w:rFonts w:ascii="黑体" w:hAnsi="黑体" w:eastAsia="黑体"/>
        </w:rPr>
        <w:t xml:space="preserve">3. 单元划分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单元类别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代表对象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主要关注点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loader、entity、serializer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目录解析、格式兼容、导入导出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预处理单元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signal processor、pipeline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滑动窗口、归一化、输出形状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标签单元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labeler、stage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标签值正确性、边界样本处理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trainer、callbacks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生命周期调用、日志记录、早停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预测单元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直接预测、滚动预测、不确定性输出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展示单元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图表文件生成、字段匹配</w:t>
            </w:r>
          </w:p>
        </w:tc>
      </w:tr>
    </w:tbl>
    <w:bookmarkEnd w:id="24"/>
    <w:bookmarkStart w:id="25" w:name="测试环境"/>
    <w:p>
      <w:pPr>
        <w:pStyle w:val="Heading2"/>
      </w:pPr>
      <w:r>
        <w:rPr>
          <w:rFonts w:ascii="黑体" w:hAnsi="黑体" w:eastAsia="黑体"/>
        </w:rPr>
        <w:t xml:space="preserve">4.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合成数据为主，真实数据 smoke test 为辅</w:t>
            </w:r>
          </w:p>
        </w:tc>
      </w:tr>
    </w:tbl>
    <w:bookmarkEnd w:id="25"/>
    <w:bookmarkStart w:id="26" w:name="测试方法"/>
    <w:p>
      <w:pPr>
        <w:pStyle w:val="Heading2"/>
      </w:pPr>
      <w:r>
        <w:rPr>
          <w:rFonts w:ascii="黑体" w:hAnsi="黑体" w:eastAsia="黑体"/>
        </w:rPr>
        <w:t xml:space="preserve">5. 测试方法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以白盒测试为主，针对模块输入输出和边界条件设计用例。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优先使用合成数据，保证测试运行稳定和速度可控。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对真实官方数据集仅做小规模烟雾测试，验证解析兼容性。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对导出类功能采用文件存在性和内容结构检查。</w:t>
      </w:r>
    </w:p>
    <w:bookmarkEnd w:id="26"/>
    <w:bookmarkStart w:id="27" w:name="测试用例设计原则"/>
    <w:p>
      <w:pPr>
        <w:pStyle w:val="Heading2"/>
      </w:pPr>
      <w:r>
        <w:rPr>
          <w:rFonts w:ascii="黑体" w:hAnsi="黑体" w:eastAsia="黑体"/>
        </w:rPr>
        <w:t xml:space="preserve">6. 测试用例设计原则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每个单元至少覆盖一个正常路径和一个边界路径。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对含有状态变化的组件，至少验证初始化、执行和结束三个阶段。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对文件导出和目录解析单元，优先验证路径和格式兼容性。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对训练相关组件，优先验证回调触发和结果产物，而不是追求数值最优。</w:t>
      </w:r>
    </w:p>
    <w:bookmarkEnd w:id="27"/>
    <w:bookmarkStart w:id="31" w:name="重点测试模块"/>
    <w:p>
      <w:pPr>
        <w:pStyle w:val="Heading2"/>
      </w:pPr>
      <w:r>
        <w:rPr>
          <w:rFonts w:ascii="黑体" w:hAnsi="黑体" w:eastAsia="黑体"/>
        </w:rPr>
        <w:t xml:space="preserve">7. 重点测试模块</w:t>
      </w:r>
    </w:p>
    <w:bookmarkStart w:id="28" w:name="数据处理模块"/>
    <w:p>
      <w:pPr>
        <w:pStyle w:val="Heading3"/>
      </w:pPr>
      <w:r>
        <w:rPr>
          <w:rFonts w:ascii="黑体" w:hAnsi="黑体" w:eastAsia="黑体"/>
        </w:rPr>
        <w:t xml:space="preserve">7.1 数据处理模块</w:t>
      </w:r>
    </w:p>
    <w:p>
      <w:pPr>
        <w:pStyle w:val="FirstParagraph"/>
      </w:pPr>
      <w:r>
        <w:rPr>
          <w:rFonts w:ascii="宋体" w:hAnsi="宋体" w:eastAsia="宋体"/>
        </w:rPr>
        <w:t xml:space="preserve">这是单元测试重点。原因在于真实数据目录结构复杂，且后续所有训练任务都依赖数据单元的正确性。</w:t>
      </w:r>
    </w:p>
    <w:bookmarkEnd w:id="28"/>
    <w:bookmarkStart w:id="29" w:name="训练回调模块"/>
    <w:p>
      <w:pPr>
        <w:pStyle w:val="Heading3"/>
      </w:pPr>
      <w:r>
        <w:rPr>
          <w:rFonts w:ascii="黑体" w:hAnsi="黑体" w:eastAsia="黑体"/>
        </w:rPr>
        <w:t xml:space="preserve">7.2 训练回调模块</w:t>
      </w:r>
    </w:p>
    <w:p>
      <w:pPr>
        <w:pStyle w:val="FirstParagraph"/>
      </w:pPr>
      <w:r>
        <w:rPr>
          <w:rFonts w:ascii="宋体" w:hAnsi="宋体" w:eastAsia="宋体"/>
        </w:rPr>
        <w:t xml:space="preserve">回调机制承担实验记录、EarlyStopping、TensorBoard 和梯度报警等关键功能，若此处有问题，虽然模型能训练，但实验管理会失效。</w:t>
      </w:r>
    </w:p>
    <w:bookmarkEnd w:id="29"/>
    <w:bookmarkStart w:id="30" w:name="预测策略模块"/>
    <w:p>
      <w:pPr>
        <w:pStyle w:val="Heading3"/>
      </w:pPr>
      <w:r>
        <w:rPr>
          <w:rFonts w:ascii="黑体" w:hAnsi="黑体" w:eastAsia="黑体"/>
        </w:rPr>
        <w:t xml:space="preserve">7.3 预测策略模块</w:t>
      </w:r>
    </w:p>
    <w:p>
      <w:pPr>
        <w:pStyle w:val="FirstParagraph"/>
      </w:pPr>
      <w:r>
        <w:rPr>
          <w:rFonts w:ascii="宋体" w:hAnsi="宋体" w:eastAsia="宋体"/>
        </w:rPr>
        <w:t xml:space="preserve">滚动预测和不确定性估计容易出现维度或状态管理问题，因此需要重点测试。</w:t>
      </w:r>
    </w:p>
    <w:bookmarkEnd w:id="30"/>
    <w:bookmarkEnd w:id="31"/>
    <w:bookmarkStart w:id="32" w:name="数据处理模块单元测试计划"/>
    <w:p>
      <w:pPr>
        <w:pStyle w:val="Heading2"/>
      </w:pPr>
      <w:r>
        <w:rPr>
          <w:rFonts w:ascii="黑体" w:hAnsi="黑体" w:eastAsia="黑体"/>
        </w:rPr>
        <w:t xml:space="preserve">8. 数据处理模块单元测试计划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用例编号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测试目标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UT-DATA-01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能识别实体目录并加载样本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UT-DATA-02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温度通道保留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加载后包含温度通道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UT-DATA-03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CSV / PKL 导出与导入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导出文件存在且可重新读取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UT-DATA-04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带表头 CSV 数值化处理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非数值行被过滤，数值列成功解析</w:t>
            </w:r>
          </w:p>
        </w:tc>
      </w:tr>
    </w:tbl>
    <w:bookmarkEnd w:id="32"/>
    <w:bookmarkStart w:id="33" w:name="训练与预测模块单元测试计划"/>
    <w:p>
      <w:pPr>
        <w:pStyle w:val="Heading2"/>
      </w:pPr>
      <w:r>
        <w:rPr>
          <w:rFonts w:ascii="黑体" w:hAnsi="黑体" w:eastAsia="黑体"/>
        </w:rPr>
        <w:t xml:space="preserve">9. 训练与预测模块单元测试计划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用例编号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测试目标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UT-TRAIN-01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BaseTrainer 训练流程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history 正常生成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UT-TRAIN-02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满足条件时提前停止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UT-TRAIN-03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TensorBoard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生成事件文件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UT-TRAIN-04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GradientAlert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梯度异常时输出告警记录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UT-PRED-01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RollingPredictor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返回正确长度的滚动预测结果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UT-PRED-02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MonteCarloDropoutPredictor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返回均值和方差信息</w:t>
            </w:r>
          </w:p>
        </w:tc>
      </w:tr>
    </w:tbl>
    <w:bookmarkEnd w:id="33"/>
    <w:bookmarkStart w:id="34" w:name="指标与论文-workflow-单元测试补充"/>
    <w:p>
      <w:pPr>
        <w:pStyle w:val="Heading2"/>
      </w:pPr>
      <w:r>
        <w:rPr>
          <w:rFonts w:ascii="黑体" w:hAnsi="黑体" w:eastAsia="黑体"/>
        </w:rPr>
        <w:t xml:space="preserve">9.1 指标与论文 workflow 单元测试补充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单元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测试重点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典型断言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RMSE、NormalizedRMSE、SMAPE、R2、Huang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完美预测误差为 0，R2 为 1，range 为 0 时不产生 NaN/inf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方向性指标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OverPredictionRate、UnderPredictionRate、WithinToleranceRate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预测大于真实值时计入 over，阈值内样本计入 within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 forward、attention 权重、workflow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输出维度正确，comparison_metrics.csv 含论文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模型结构、baseline 对比、划分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两个数据集均输出模型名称、样本数和关键指标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examples 下所有 notebook 代码单元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1 epoch 条件下可执行，不依赖提交大型真实输出</w:t>
            </w:r>
          </w:p>
        </w:tc>
      </w:tr>
    </w:tbl>
    <w:bookmarkEnd w:id="34"/>
    <w:bookmarkStart w:id="35" w:name="预期结果与通过标准"/>
    <w:p>
      <w:pPr>
        <w:pStyle w:val="Heading2"/>
      </w:pPr>
      <w:r>
        <w:rPr>
          <w:rFonts w:ascii="黑体" w:hAnsi="黑体" w:eastAsia="黑体"/>
        </w:rPr>
        <w:t xml:space="preserve">10. 预期结果与通过标准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单元测试通过率应达到 100%，关键单元不得存在未修复失败项。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失败用例必须形成缺陷记录并在回归后关闭。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修改数据接口、训练回调或预测逻辑后，应重新执行对应单元测试。</w:t>
      </w:r>
    </w:p>
    <w:bookmarkEnd w:id="35"/>
    <w:bookmarkStart w:id="38" w:name="缺陷记录与回归策略"/>
    <w:p>
      <w:pPr>
        <w:pStyle w:val="Heading2"/>
      </w:pPr>
      <w:r>
        <w:rPr>
          <w:rFonts w:ascii="黑体" w:hAnsi="黑体" w:eastAsia="黑体"/>
        </w:rPr>
        <w:t xml:space="preserve">11. 缺陷记录与回归策略</w:t>
      </w:r>
    </w:p>
    <w:bookmarkStart w:id="36" w:name="缺陷记录"/>
    <w:p>
      <w:pPr>
        <w:pStyle w:val="Heading3"/>
      </w:pPr>
      <w:r>
        <w:rPr>
          <w:rFonts w:ascii="黑体" w:hAnsi="黑体" w:eastAsia="黑体"/>
        </w:rPr>
        <w:t xml:space="preserve">11.1 缺陷记录</w:t>
      </w:r>
    </w:p>
    <w:p>
      <w:pPr>
        <w:pStyle w:val="FirstParagraph"/>
      </w:pPr>
      <w:r>
        <w:rPr>
          <w:rFonts w:ascii="宋体" w:hAnsi="宋体" w:eastAsia="宋体"/>
        </w:rPr>
        <w:t xml:space="preserve">缺陷应记录以下内容：出现环境、触发条件、现象、定位结论、修复提交和回归结果。</w:t>
      </w:r>
    </w:p>
    <w:bookmarkEnd w:id="36"/>
    <w:bookmarkStart w:id="37" w:name="回归策略"/>
    <w:p>
      <w:pPr>
        <w:pStyle w:val="Heading3"/>
      </w:pPr>
      <w:r>
        <w:rPr>
          <w:rFonts w:ascii="黑体" w:hAnsi="黑体" w:eastAsia="黑体"/>
        </w:rPr>
        <w:t xml:space="preserve">11.2 回归策略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修改数据加载器后，回归所有数据单元测试。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修改训练主链路后，回归训练与预测单元测试。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修改图表导出逻辑后，回归展示相关测试。</w:t>
      </w:r>
    </w:p>
    <w:bookmarkEnd w:id="37"/>
    <w:bookmarkEnd w:id="38"/>
    <w:bookmarkStart w:id="39" w:name="结论"/>
    <w:p>
      <w:pPr>
        <w:pStyle w:val="Heading2"/>
      </w:pPr>
      <w:r>
        <w:rPr>
          <w:rFonts w:ascii="黑体" w:hAnsi="黑体" w:eastAsia="黑体"/>
        </w:rPr>
        <w:t xml:space="preserve">12. 结论</w:t>
      </w:r>
    </w:p>
    <w:p>
      <w:pPr>
        <w:pStyle w:val="FirstParagraph"/>
      </w:pPr>
      <w:r>
        <w:rPr>
          <w:rFonts w:ascii="宋体" w:hAnsi="宋体" w:eastAsia="宋体"/>
        </w:rPr>
        <w:t xml:space="preserve">单元测试计划强调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快速发现局部错误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，是保障后续集成测试和确认测试顺利进行的基础。对本项目而言，单元测试尤其是保证数据链路和训练回调稳定性的关键手段。</w:t>
      </w:r>
    </w:p>
    <w:bookmarkEnd w:id="39"/>
    <w:bookmarkEnd w:id="40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07_单元测试计划文档</dc:title>
  <dc:creator>zyj、cyy、zdh、zy</dc:creator>
  <cp:keywords>RUL, 预测性维护, 工业轴承, 软件工程</cp:keywords>
  <dcterms:created xsi:type="dcterms:W3CDTF">2026-06-14T10:06:59Z</dcterms:created>
  <dcterms:modified xsi:type="dcterms:W3CDTF">2026-06-14T10:06:59Z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