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uml-设计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工业轴承设备剩余寿命预测系统的实现：UML 设计文档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UML 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SE-PHM-MID-12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用例图、类图、顺序图、组件关系和部署视图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文档目的"/>
    <w:p>
      <w:pPr>
        <w:pStyle w:val="Heading2"/>
      </w:pPr>
      <w:r>
        <w:rPr>
          <w:rFonts w:ascii="黑体" w:hAnsi="黑体" w:eastAsia="黑体"/>
        </w:rPr>
        <w:t xml:space="preserve">1. 文档目的</w:t>
      </w:r>
    </w:p>
    <w:p>
      <w:pPr>
        <w:pStyle w:val="FirstParagraph"/>
      </w:pPr>
      <w:r>
        <w:rPr>
          <w:rFonts w:ascii="宋体" w:hAnsi="宋体" w:eastAsia="宋体"/>
        </w:rPr>
        <w:t xml:space="preserve">本文档用于补充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工业轴承设备剩余寿命预测系统的实现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 UML 设计说明，明确系统主要参与者、核心类关系、训练与评估顺序、组件边界和部署方式。文档与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06_设计文档.md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配套使用，重点回答系统如何从真实轴承数据进入统一工程流程，以及各模块如何协作完成 RUL 预测。</w:t>
      </w:r>
    </w:p>
    <w:p>
      <w:pPr>
        <w:pStyle w:val="BodyText"/>
      </w:pPr>
      <w:r>
        <w:rPr>
          <w:rFonts w:ascii="宋体" w:hAnsi="宋体" w:eastAsia="宋体"/>
        </w:rPr>
        <w:t xml:space="preserve">本项目 UML 设计遵循两个原则：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图示服务于工程实现，不额外引入代码中不存在的复杂对象。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图示围绕 RUL 预测主线展开，退化阶段标注、生存概率和可视化作为辅助能力说明。</w:t>
      </w:r>
    </w:p>
    <w:bookmarkEnd w:id="22"/>
    <w:bookmarkStart w:id="23" w:name="uml-建模范围"/>
    <w:p>
      <w:pPr>
        <w:pStyle w:val="Heading2"/>
      </w:pPr>
      <w:r>
        <w:rPr>
          <w:rFonts w:ascii="黑体" w:hAnsi="黑体" w:eastAsia="黑体"/>
        </w:rPr>
        <w:t xml:space="preserve">2. UML 建模范围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视图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关注点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对应模块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使用者如何完成数据导入、特征分析、模型训练、论文复现和结果查看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dataset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feature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training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evaluation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数据实体、loader、特征提取、标签构造、模型、训练器、评估器之间的静态关系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src/USTC/SSE/BearingPrediction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顺序图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一次 RUL 训练和评估请求的调用顺序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-&gt; labeler -&gt; trainer -&gt; tester -&gt; evaluator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组件图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工程包、notebook、文档和输出目录的边界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src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examples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tests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docx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outputs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部署图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本地课程环境下的运行和数据存放方式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 3.11、uv、本地数据目录、实验输出目录</w:t>
            </w:r>
          </w:p>
        </w:tc>
      </w:tr>
    </w:tbl>
    <w:bookmarkEnd w:id="23"/>
    <w:bookmarkStart w:id="24" w:name="用例图"/>
    <w:p>
      <w:pPr>
        <w:pStyle w:val="Heading2"/>
      </w:pPr>
      <w:r>
        <w:rPr>
          <w:rFonts w:ascii="黑体" w:hAnsi="黑体" w:eastAsia="黑体"/>
        </w:rPr>
        <w:t xml:space="preserve">3. 用例图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flowchart LR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actor1["实验使用者"]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actor2["课程评审人员"]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actor3["项目维护者"]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uc1["导入 XJTU-SY / PHM2012 数据"]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uc2["查看数据质量与特征趋势"]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uc3["构造 RUL 标签与特征序列"]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uc4["训练 RUL 预测模型"]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uc5["执行论文复现实验"]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uc6["查看指标、曲线和输出文件"]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uc7["运行自动化测试"]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uc8["导出课程文档"]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actor1 --&gt; uc1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actor1 --&gt; uc2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actor1 --&gt; uc3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actor1 --&gt; uc4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actor1 --&gt; uc5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actor1 --&gt; uc6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actor2 --&gt; uc6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actor2 --&gt; uc8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actor3 --&gt; uc7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actor3 --&gt; uc8</w:t>
      </w:r>
    </w:p>
    <w:p>
      <w:pPr>
        <w:pStyle w:val="FirstParagraph"/>
      </w:pPr>
      <w:r>
        <w:rPr>
          <w:rFonts w:ascii="宋体" w:hAnsi="宋体" w:eastAsia="宋体"/>
        </w:rPr>
        <w:t xml:space="preserve">用例说明：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实验使用者主要关注从数据到训练再到结果解释的完整链路。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课程评审人员主要关注系统是否可运行、结果是否可解释、文档是否规范。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项目维护者主要关注测试、导出脚本和后续扩展。</w:t>
      </w:r>
    </w:p>
    <w:bookmarkEnd w:id="24"/>
    <w:bookmarkStart w:id="25" w:name="核心类图"/>
    <w:p>
      <w:pPr>
        <w:pStyle w:val="Heading2"/>
      </w:pPr>
      <w:r>
        <w:rPr>
          <w:rFonts w:ascii="黑体" w:hAnsi="黑体" w:eastAsia="黑体"/>
        </w:rPr>
        <w:t xml:space="preserve">4. 核心类图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classDiagram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BearingEntity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+dataset_name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+bearing_id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+sampling_rate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+channels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+metadata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XJTULoader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+load(path) BearingEntity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+list_bearings(path)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PHM2012Loader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+load(path) BearingEntity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+list_bearings(path)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FeatureExtractor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+extract_time_features(signal)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+extract_frequency_features(signal)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FeatureSequenceRulLabeler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+sequence_length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+build(entity)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BearingWindowDataset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+features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+targets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+metadata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BaseRulModel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+forward(x)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+predict(x)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CNNLSTMAttention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+forward(x)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+attention_weights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XLSTMTransformer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+forward(x)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BaseTrainer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+fit(dataset)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+save_history()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BaseTester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+predict(dataset)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+save_predictions()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class Evaluator {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+evaluate(targets, predictions)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}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XJTULoader --&gt; BearingEntity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PHM2012Loader --&gt; BearingEntity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BearingEntity --&gt; FeatureExtractor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FeatureExtractor --&gt; FeatureSequenceRulLabeler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FeatureSequenceRulLabeler --&gt; 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BearingWindowDataset --&gt; BaseTrainer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BaseRulModel &lt;|-- CNNLSTMAttention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BaseRulModel &lt;|-- XLSTMTransformer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BaseTrainer --&gt; BaseRulModel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BaseTrainer --&gt; BaseTester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BaseTester --&gt; Evaluator</w:t>
      </w:r>
    </w:p>
    <w:p>
      <w:pPr>
        <w:pStyle w:val="FirstParagraph"/>
      </w:pPr>
      <w:r>
        <w:rPr>
          <w:rFonts w:ascii="宋体" w:hAnsi="宋体" w:eastAsia="宋体"/>
        </w:rPr>
        <w:t xml:space="preserve">类图说明：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rFonts w:ascii="宋体" w:hAnsi="宋体" w:eastAsia="宋体"/>
        </w:rPr>
        <w:t xml:space="preserve">XJTULoader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PHM2012Loader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只负责数据读取和元数据组织，不参与模型训练。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rFonts w:ascii="宋体" w:hAnsi="宋体" w:eastAsia="宋体"/>
        </w:rPr>
        <w:t xml:space="preserve">FeatureExtractor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将原始振动快照转换为可解释特征，便于跨数据集复用。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rFonts w:ascii="宋体" w:hAnsi="宋体" w:eastAsia="宋体"/>
        </w:rPr>
        <w:t xml:space="preserve">FeatureSequenceRulLabeler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负责将连续特征组织成序列，并生成 RUL 目标。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模型类只处理张量输入输出，训练、测试和指标计算由独立组件负责。</w:t>
      </w:r>
    </w:p>
    <w:bookmarkEnd w:id="25"/>
    <w:bookmarkStart w:id="26" w:name="rul-训练顺序图"/>
    <w:p>
      <w:pPr>
        <w:pStyle w:val="Heading2"/>
      </w:pPr>
      <w:r>
        <w:rPr>
          <w:rFonts w:ascii="黑体" w:hAnsi="黑体" w:eastAsia="黑体"/>
        </w:rPr>
        <w:t xml:space="preserve">5. RUL 训练顺序图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sequenceDiagram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participant User as 实验使用者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participant NB as Notebook/API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participant Loader as Dataset Loader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participant Labeler as RUL Labeler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participant Trainer as Trainer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participant Tester as Tester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participant Eval as Evaluator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participant Out as Output Files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User-&gt;&gt;NB: 选择数据集、模型和 epoch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NB-&gt;&gt;Loader: load(data_path)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Loader--&gt;&gt;NB: BearingEntity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NB-&gt;&gt;Labeler: build(entity)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Labeler--&gt;&gt;NB: BearingWindowDataset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NB-&gt;&gt;Trainer: fit(dataset)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Trainer--&gt;&gt;Out: history.csv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NB-&gt;&gt;Tester: predict(test_dataset)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Tester--&gt;&gt;Out: predictions.csv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Tester-&gt;&gt;Eval: evaluate(target, prediction)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Eval--&gt;&gt;Out: metrics.json / comparison_metrics.csv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Out--&gt;&gt;User: 指标表、RUL 曲线和实验记录</w:t>
      </w:r>
    </w:p>
    <w:p>
      <w:pPr>
        <w:pStyle w:val="FirstParagraph"/>
      </w:pPr>
      <w:r>
        <w:rPr>
          <w:rFonts w:ascii="宋体" w:hAnsi="宋体" w:eastAsia="宋体"/>
        </w:rPr>
        <w:t xml:space="preserve">顺序图说明：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Notebook 或 API 只是入口，核心计算由包内模块完成。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训练过程必须输出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history.csv</w:t>
      </w:r>
      <w:r>
        <w:rPr>
          <w:rFonts w:ascii="宋体" w:hAnsi="宋体" w:eastAsia="宋体"/>
        </w:rPr>
        <w:t xml:space="preserve">，用于证明 epoch 循环真实执行。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预测结果与指标分开保存，便于后续画图、复现实验和课程检查。</w:t>
      </w:r>
    </w:p>
    <w:bookmarkEnd w:id="26"/>
    <w:bookmarkStart w:id="27" w:name="组件图"/>
    <w:p>
      <w:pPr>
        <w:pStyle w:val="Heading2"/>
      </w:pPr>
      <w:r>
        <w:rPr>
          <w:rFonts w:ascii="黑体" w:hAnsi="黑体" w:eastAsia="黑体"/>
        </w:rPr>
        <w:t xml:space="preserve">6. 组件图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flowchart TB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subgraph Source["源代码包 src/USTC/SSE/BearingPrediction"]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Data["dataset / data"]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Feature["feature / preprocess / labeling"]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Model["models / training / prediction"]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    Eval["evaluation / visualization"]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end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Examples["examples/notebooks"]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Tests["tests"]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Docs["docx / docs"]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DataDir["data/external 或 data/generated"]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OutputDir["tmp / outputs"]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DataDir --&gt; Data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Data --&gt; Feature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Feature --&gt; Model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Model --&gt; Eval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Eval --&gt; OutputDir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Examples --&gt; Source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Tests --&gt; Source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Docs --&gt; Examples</w:t>
      </w:r>
    </w:p>
    <w:p>
      <w:pPr>
        <w:pStyle w:val="FirstParagraph"/>
      </w:pPr>
      <w:r>
        <w:rPr>
          <w:rFonts w:ascii="宋体" w:hAnsi="宋体" w:eastAsia="宋体"/>
        </w:rPr>
        <w:t xml:space="preserve">组件图说明：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rFonts w:ascii="宋体" w:hAnsi="宋体" w:eastAsia="宋体"/>
        </w:rPr>
        <w:t xml:space="preserve">src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是核心工程包，承担可复用逻辑。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rFonts w:ascii="宋体" w:hAnsi="宋体" w:eastAsia="宋体"/>
        </w:rPr>
        <w:t xml:space="preserve">examples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是可执行示例和论文复现实验入口，不应包含大量业务逻辑。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rFonts w:ascii="宋体" w:hAnsi="宋体" w:eastAsia="宋体"/>
        </w:rPr>
        <w:t xml:space="preserve">tests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对核心链路做自动化验证。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  <w:rFonts w:ascii="宋体" w:hAnsi="宋体" w:eastAsia="宋体"/>
        </w:rPr>
        <w:t xml:space="preserve">docx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docs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负责课程交付和用户说明，文档结论应能追溯到示例、测试和输出文件。</w:t>
      </w:r>
    </w:p>
    <w:bookmarkEnd w:id="27"/>
    <w:bookmarkStart w:id="28" w:name="部署图"/>
    <w:p>
      <w:pPr>
        <w:pStyle w:val="Heading2"/>
      </w:pPr>
      <w:r>
        <w:rPr>
          <w:rFonts w:ascii="黑体" w:hAnsi="黑体" w:eastAsia="黑体"/>
        </w:rPr>
        <w:t xml:space="preserve">7. 部署图</w:t>
      </w:r>
    </w:p>
    <w:p>
      <w:pPr>
        <w:pStyle w:val="SourceCode"/>
      </w:pPr>
      <w:r>
        <w:rPr>
          <w:rStyle w:val="VerbatimChar"/>
          <w:rFonts w:ascii="宋体" w:hAnsi="宋体" w:eastAsia="宋体"/>
        </w:rPr>
        <w:t xml:space="preserve">flowchart LR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Dev["开发者本地机器"]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UV["uv 虚拟环境 / Python 3.11+"]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Repo["项目仓库"]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External["data/external 真实数据"]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Generated["data/generated 示例数据"]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Tmp["tmp 训练与复现输出"]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DocsOut["docx PDF/DOCX 交付物"]</w:t>
      </w:r>
      <w:r>
        <w:rPr>
          <w:rFonts w:ascii="宋体" w:hAnsi="宋体" w:eastAsia="宋体"/>
        </w:rPr>
        <w:br/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Dev --&gt; UV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UV --&gt; Repo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Repo --&gt; External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Repo --&gt; Generated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Repo --&gt; Tmp</w:t>
      </w:r>
      <w:r>
        <w:rPr>
          <w:rFonts w:ascii="宋体" w:hAnsi="宋体" w:eastAsia="宋体"/>
        </w:rPr>
        <w:br/>
      </w:r>
      <w:r>
        <w:rPr>
          <w:rStyle w:val="VerbatimChar"/>
          <w:rFonts w:ascii="宋体" w:hAnsi="宋体" w:eastAsia="宋体"/>
        </w:rPr>
        <w:t xml:space="preserve">    Repo --&gt; DocsOut</w:t>
      </w:r>
    </w:p>
    <w:p>
      <w:pPr>
        <w:pStyle w:val="FirstParagraph"/>
      </w:pPr>
      <w:r>
        <w:rPr>
          <w:rFonts w:ascii="宋体" w:hAnsi="宋体" w:eastAsia="宋体"/>
        </w:rPr>
        <w:t xml:space="preserve">部署说明：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项目以本地课程环境为主，不依赖远程工业采集系统。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原始真实数据和训练输出不提交到 Git 仓库，只保留目录约定和可复现说明。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课程文档由 Markdown 源文件导出 PDF 和 DOCX，便于审阅和回溯。</w:t>
      </w:r>
    </w:p>
    <w:bookmarkEnd w:id="28"/>
    <w:bookmarkStart w:id="29" w:name="设计一致性说明"/>
    <w:p>
      <w:pPr>
        <w:pStyle w:val="Heading2"/>
      </w:pPr>
      <w:r>
        <w:rPr>
          <w:rFonts w:ascii="黑体" w:hAnsi="黑体" w:eastAsia="黑体"/>
        </w:rPr>
        <w:t xml:space="preserve">8. 设计一致性说明</w:t>
      </w:r>
    </w:p>
    <w:p>
      <w:pPr>
        <w:pStyle w:val="FirstParagraph"/>
      </w:pPr>
      <w:r>
        <w:rPr>
          <w:rFonts w:ascii="宋体" w:hAnsi="宋体" w:eastAsia="宋体"/>
        </w:rPr>
        <w:t xml:space="preserve">UML 设计与当前工程实现的对应关系如下：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640"/>
        <w:gridCol w:w="2640"/>
        <w:gridCol w:w="2640"/>
      </w:tblGrid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UML 元素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工程对应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 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XJTULoader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PHM2012Loader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数据加载测试和 loader overview notebook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时频域特征、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FeatureSequenceRulLabeler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特征导出 notebook、论文复现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CNN、RNN、CNN-LSTM-AM、XLSTM-Transformer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 forward 测试和真实训练记录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评价器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RMSE、R2、SMAPE、Huang Score、PHM/RUL 非对称惩罚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指标单元测试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输出物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history.csv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metrics.json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predictions.csv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集成测试和确认测试报告</w:t>
            </w:r>
          </w:p>
        </w:tc>
      </w:tr>
    </w:tbl>
    <w:bookmarkEnd w:id="29"/>
    <w:bookmarkStart w:id="30" w:name="结论"/>
    <w:p>
      <w:pPr>
        <w:pStyle w:val="Heading2"/>
      </w:pPr>
      <w:r>
        <w:rPr>
          <w:rFonts w:ascii="黑体" w:hAnsi="黑体" w:eastAsia="黑体"/>
        </w:rPr>
        <w:t xml:space="preserve">9. 结论</w:t>
      </w:r>
    </w:p>
    <w:p>
      <w:pPr>
        <w:pStyle w:val="FirstParagraph"/>
      </w:pPr>
      <w:r>
        <w:rPr>
          <w:rFonts w:ascii="宋体" w:hAnsi="宋体" w:eastAsia="宋体"/>
        </w:rPr>
        <w:t xml:space="preserve">本文档从用例、类关系、调用顺序、组件边界和部署方式五个角度说明了系统设计。整体设计以 RUL 预测主线为中心，将数据集差异收敛到 loader，将特征和标签构造独立成层，将训练、测试、评价和展示解耦，能够支撑课程要求的实现、测试、复现和文档交付。</w:t>
      </w:r>
    </w:p>
    <w:bookmarkEnd w:id="30"/>
    <w:bookmarkEnd w:id="31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12_UML设计文档</dc:title>
  <dc:creator>zyj、cyy、zdh、zy</dc:creator>
  <cp:keywords>RUL, 预测性维护, 工业轴承, 软件工程</cp:keywords>
  <dcterms:created xsi:type="dcterms:W3CDTF">2026-06-14T10:07:16Z</dcterms:created>
  <dcterms:modified xsi:type="dcterms:W3CDTF">2026-06-14T10:07:16Z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