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8" w:name="工业轴承设备剩余寿命预测系统的实现技术预研报告"/>
    <w:p>
      <w:pPr>
        <w:pStyle w:val="Heading1"/>
        <w:jc w:val="center"/>
      </w:pPr>
      <w:r>
        <w:rPr>
          <w:rFonts w:ascii="黑体" w:hAnsi="黑体" w:eastAsia="黑体"/>
          <w:b/>
          <w:sz w:val="40"/>
        </w:rPr>
        <w:t xml:space="preserve">工业轴承设备剩余寿命预测系统的实现：技术预研报告</w:t>
      </w:r>
    </w:p>
    <w:bookmarkStart w:id="20" w:name="文档信息"/>
    <w:p>
      <w:pPr>
        <w:pStyle w:val="Heading2"/>
      </w:pPr>
      <w:r>
        <w:rPr>
          <w:rFonts w:ascii="黑体" w:hAnsi="黑体" w:eastAsia="黑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技术预研报告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SE-PHM-PROP-03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数据、特征、模型、工具链和风险预研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黑体" w:hAnsi="黑体" w:eastAsia="黑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日期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编写人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项目技术目标"/>
    <w:p>
      <w:pPr>
        <w:pStyle w:val="Heading2"/>
      </w:pPr>
      <w:r>
        <w:rPr>
          <w:rFonts w:ascii="黑体" w:hAnsi="黑体" w:eastAsia="黑体"/>
        </w:rPr>
        <w:t xml:space="preserve">1. 项目技术目标</w:t>
      </w:r>
    </w:p>
    <w:p>
      <w:pPr>
        <w:pStyle w:val="FirstParagraph"/>
      </w:pPr>
      <w:r>
        <w:rPr>
          <w:rFonts w:ascii="宋体" w:hAnsi="宋体" w:eastAsia="宋体"/>
        </w:rPr>
        <w:t xml:space="preserve">技术预研的目的不是罗列工具，而是围绕项目目标回答三个问题：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需要哪些技术才能支撑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真实数据接入 + 多模型训练 + 实验可复现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这一完整流程。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候选方案之间有哪些差异，哪些更适合课程项目的进度和资源约束。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如何在保证可运行的前提下，为后续扩展预留空间。</w:t>
      </w:r>
    </w:p>
    <w:p>
      <w:pPr>
        <w:pStyle w:val="FirstParagraph"/>
      </w:pPr>
      <w:r>
        <w:rPr>
          <w:rFonts w:ascii="宋体" w:hAnsi="宋体" w:eastAsia="宋体"/>
        </w:rPr>
        <w:t xml:space="preserve">结合项目需求，技术预研的具体目标如下：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构建稳定的 Python 开发环境和依赖管理方案。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选择适合时序数据处理与模型训练的核心库。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调研轴承剩余寿命预测常见模型，并确定课程项目可控的实现范围。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评估 XJTU-SY 和 PHM2012 / FEMTO 数据集的可用性、获取方式和适配难度。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给出最终技术栈与保留备选方案。</w:t>
      </w:r>
    </w:p>
    <w:bookmarkEnd w:id="22"/>
    <w:bookmarkStart w:id="25" w:name="候选技术方案调研"/>
    <w:p>
      <w:pPr>
        <w:pStyle w:val="Heading2"/>
      </w:pPr>
      <w:r>
        <w:rPr>
          <w:rFonts w:ascii="黑体" w:hAnsi="黑体" w:eastAsia="黑体"/>
        </w:rPr>
        <w:t xml:space="preserve">2. 候选技术方案调研</w:t>
      </w:r>
    </w:p>
    <w:bookmarkStart w:id="23" w:name="开发语言候选"/>
    <w:p>
      <w:pPr>
        <w:pStyle w:val="Heading3"/>
      </w:pPr>
      <w:r>
        <w:rPr>
          <w:rFonts w:ascii="黑体" w:hAnsi="黑体" w:eastAsia="黑体"/>
        </w:rPr>
        <w:t xml:space="preserve">2.1 开发语言候选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方案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优点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缺点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结论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数据科学生态成熟，开发速度快，适合课程项目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运行性能不如 C++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Java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工程结构清晰，适合后端系统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科学计算生态不占优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不采用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MATLAB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信号处理能力强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商业授权限制，工程化和协作较弱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不采用</w:t>
            </w:r>
          </w:p>
        </w:tc>
      </w:tr>
    </w:tbl>
    <w:p>
      <w:pPr>
        <w:pStyle w:val="BodyText"/>
      </w:pPr>
      <w:r>
        <w:rPr>
          <w:rFonts w:ascii="宋体" w:hAnsi="宋体" w:eastAsia="宋体"/>
        </w:rPr>
        <w:t xml:space="preserve">综合考虑课程周期、开源生态和团队技术基础，Python 是最合适的主语言。</w:t>
      </w:r>
    </w:p>
    <w:bookmarkEnd w:id="23"/>
    <w:bookmarkStart w:id="24" w:name="环境管理候选"/>
    <w:p>
      <w:pPr>
        <w:pStyle w:val="Heading3"/>
      </w:pPr>
      <w:r>
        <w:rPr>
          <w:rFonts w:ascii="黑体" w:hAnsi="黑体" w:eastAsia="黑体"/>
        </w:rPr>
        <w:t xml:space="preserve">2.2 环境管理候选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方案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优点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缺点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结论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安装快、锁文件明确、统一管理虚拟环境和依赖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团队需统一使用方式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pip + venv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通用性强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依赖解析和锁定能力弱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作为兼容方案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conda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包含较多科学计算包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环境较重，不利于课程提交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不采用</w:t>
            </w:r>
          </w:p>
        </w:tc>
      </w:tr>
    </w:tbl>
    <w:p>
      <w:pPr>
        <w:pStyle w:val="BodyText"/>
      </w:pPr>
      <w:r>
        <w:rPr>
          <w:rFonts w:ascii="宋体" w:hAnsi="宋体" w:eastAsia="宋体"/>
        </w:rPr>
        <w:t xml:space="preserve">本项目统一使用 uv 管理依赖与虚拟环境，以保证开发、测试和答辩环境一致。</w:t>
      </w:r>
    </w:p>
    <w:bookmarkEnd w:id="24"/>
    <w:bookmarkEnd w:id="25"/>
    <w:bookmarkStart w:id="29" w:name="python-技术栈调研"/>
    <w:p>
      <w:pPr>
        <w:pStyle w:val="Heading2"/>
      </w:pPr>
      <w:r>
        <w:rPr>
          <w:rFonts w:ascii="黑体" w:hAnsi="黑体" w:eastAsia="黑体"/>
        </w:rPr>
        <w:t xml:space="preserve">3. Python 技术栈调研</w:t>
      </w:r>
    </w:p>
    <w:bookmarkStart w:id="26" w:name="数据处理类库"/>
    <w:p>
      <w:pPr>
        <w:pStyle w:val="Heading3"/>
      </w:pPr>
      <w:r>
        <w:rPr>
          <w:rFonts w:ascii="黑体" w:hAnsi="黑体" w:eastAsia="黑体"/>
        </w:rPr>
        <w:t xml:space="preserve">3.1 数据处理类库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库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适用场景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评估结果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NumPy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数值计算、数组运算、FFT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必选，作为基础数值层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Pandas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表格数据组织、日志和结果导出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必选，便于数据集抽象和结果分析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SciPy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频域分析和统计计算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可选，当前基础实现可不强依赖</w:t>
            </w:r>
          </w:p>
        </w:tc>
      </w:tr>
    </w:tbl>
    <w:bookmarkEnd w:id="26"/>
    <w:bookmarkStart w:id="27" w:name="机器学习与深度学习类库"/>
    <w:p>
      <w:pPr>
        <w:pStyle w:val="Heading3"/>
      </w:pPr>
      <w:r>
        <w:rPr>
          <w:rFonts w:ascii="黑体" w:hAnsi="黑体" w:eastAsia="黑体"/>
        </w:rPr>
        <w:t xml:space="preserve">3.2 机器学习与深度学习类库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库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适用场景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评估结果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Scikit-learn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传统模型、标准化、指标评估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必选，指标和部分基线模型依赖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PyTorch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CNN、RNN、Transformer 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必选，统一深度学习框架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XGBoost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树模型回归基线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可选，作为高级依赖保留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lifelines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生存分析建模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可选，作为生存分析增强方案保留</w:t>
            </w:r>
          </w:p>
        </w:tc>
      </w:tr>
    </w:tbl>
    <w:bookmarkEnd w:id="27"/>
    <w:bookmarkStart w:id="28" w:name="可视化与实验跟踪工具"/>
    <w:p>
      <w:pPr>
        <w:pStyle w:val="Heading3"/>
      </w:pPr>
      <w:r>
        <w:rPr>
          <w:rFonts w:ascii="黑体" w:hAnsi="黑体" w:eastAsia="黑体"/>
        </w:rPr>
        <w:t xml:space="preserve">3.3 可视化与实验跟踪工具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工具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用途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评估结果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Matplotlib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基础图表输出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必选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Seaborn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统计图美化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必选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TensorBoard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训练曲线、梯度和参数可视化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必选</w:t>
            </w:r>
          </w:p>
        </w:tc>
      </w:tr>
    </w:tbl>
    <w:bookmarkEnd w:id="28"/>
    <w:bookmarkEnd w:id="29"/>
    <w:bookmarkStart w:id="30" w:name="uv-环境管理方案说明"/>
    <w:p>
      <w:pPr>
        <w:pStyle w:val="Heading2"/>
      </w:pPr>
      <w:r>
        <w:rPr>
          <w:rFonts w:ascii="黑体" w:hAnsi="黑体" w:eastAsia="黑体"/>
        </w:rPr>
        <w:t xml:space="preserve">4. uv 环境管理方案说明</w:t>
      </w:r>
    </w:p>
    <w:p>
      <w:pPr>
        <w:pStyle w:val="FirstParagraph"/>
      </w:pPr>
      <w:r>
        <w:rPr>
          <w:rFonts w:ascii="宋体" w:hAnsi="宋体" w:eastAsia="宋体"/>
        </w:rPr>
        <w:t xml:space="preserve">项目统一使用 uv，原因如下：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依赖解析速度快，适合频繁调整环境的课程项目。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能够通过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pyproject.toml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和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uv.lock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固定版本，降低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在我电脑能跑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的问题。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便于区分基础依赖和高级可选依赖。</w:t>
      </w:r>
    </w:p>
    <w:p>
      <w:pPr>
        <w:pStyle w:val="FirstParagraph"/>
      </w:pPr>
      <w:r>
        <w:rPr>
          <w:rFonts w:ascii="宋体" w:hAnsi="宋体" w:eastAsia="宋体"/>
        </w:rPr>
        <w:t xml:space="preserve">项目环境管理规则如下：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Python 版本统一为 3.11 及以上。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基础依赖包含 NumPy、Pandas、Scikit-learn、PyTorch、Matplotlib、Seaborn、TensorBoard 等。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rFonts w:ascii="宋体" w:hAnsi="宋体" w:eastAsia="宋体"/>
        </w:rPr>
        <w:t xml:space="preserve">advanced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可选依赖包含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tsfresh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xgboost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等，用于增强实验。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rFonts w:ascii="宋体" w:hAnsi="宋体" w:eastAsia="宋体"/>
        </w:rPr>
        <w:t xml:space="preserve">dev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依赖包含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pytest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等测试工具。</w:t>
      </w:r>
    </w:p>
    <w:bookmarkEnd w:id="30"/>
    <w:bookmarkStart w:id="33" w:name="数据处理与特征工程技术选型"/>
    <w:p>
      <w:pPr>
        <w:pStyle w:val="Heading2"/>
      </w:pPr>
      <w:r>
        <w:rPr>
          <w:rFonts w:ascii="黑体" w:hAnsi="黑体" w:eastAsia="黑体"/>
        </w:rPr>
        <w:t xml:space="preserve">5. 数据处理与特征工程技术选型</w:t>
      </w:r>
    </w:p>
    <w:bookmarkStart w:id="31" w:name="预处理候选方案"/>
    <w:p>
      <w:pPr>
        <w:pStyle w:val="Heading3"/>
      </w:pPr>
      <w:r>
        <w:rPr>
          <w:rFonts w:ascii="黑体" w:hAnsi="黑体" w:eastAsia="黑体"/>
        </w:rPr>
        <w:t xml:space="preserve">5.1 预处理候选方案</w:t>
      </w:r>
    </w:p>
    <w:p>
      <w:pPr>
        <w:pStyle w:val="FirstParagraph"/>
      </w:pPr>
      <w:r>
        <w:rPr>
          <w:rFonts w:ascii="宋体" w:hAnsi="宋体" w:eastAsia="宋体"/>
        </w:rPr>
        <w:t xml:space="preserve">围绕轴承振动信号，本项目重点调研以下预处理能力：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滑动窗口：将长序列切分为固定长度样本，是建模前提。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归一化或标准化：降低不同工况下幅值差异对训练的影响。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异常值和空值处理：提升真实数据导入的稳定性。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多通道组织：同时支持水平振动、垂直振动和温度通道。</w:t>
      </w:r>
    </w:p>
    <w:p>
      <w:pPr>
        <w:pStyle w:val="FirstParagraph"/>
      </w:pPr>
      <w:r>
        <w:rPr>
          <w:rFonts w:ascii="宋体" w:hAnsi="宋体" w:eastAsia="宋体"/>
        </w:rPr>
        <w:t xml:space="preserve">综合评估后，项目采用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默认轻量预处理 + 可扩展管道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的方案，即基础流程由自定义处理模块完成，可选接入更复杂的外部工具。</w:t>
      </w:r>
    </w:p>
    <w:bookmarkEnd w:id="31"/>
    <w:bookmarkStart w:id="32" w:name="特征工程候选方案"/>
    <w:p>
      <w:pPr>
        <w:pStyle w:val="Heading3"/>
      </w:pPr>
      <w:r>
        <w:rPr>
          <w:rFonts w:ascii="黑体" w:hAnsi="黑体" w:eastAsia="黑体"/>
        </w:rPr>
        <w:t xml:space="preserve">5.2 特征工程候选方案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方案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优点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缺点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结论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手工统计特征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均值、标准差、RMS、峰值、峭度等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可解释性强、实现简单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依赖人工经验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FFT 频域特征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主频、频域能量、谱质心等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适合振动场景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频率分辨率依赖窗口设置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tsfresh 自动特征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大量自动化统计特征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覆盖广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依赖较重、特征筛选复杂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作为高级可选方案</w:t>
            </w:r>
          </w:p>
        </w:tc>
      </w:tr>
    </w:tbl>
    <w:p>
      <w:pPr>
        <w:pStyle w:val="BodyText"/>
      </w:pPr>
      <w:r>
        <w:rPr>
          <w:rFonts w:ascii="宋体" w:hAnsi="宋体" w:eastAsia="宋体"/>
        </w:rPr>
        <w:t xml:space="preserve">最终选型为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基础统计特征 + 频域特征 + 可选自动特征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的混合策略。</w:t>
      </w:r>
    </w:p>
    <w:bookmarkEnd w:id="32"/>
    <w:bookmarkEnd w:id="33"/>
    <w:bookmarkStart w:id="37" w:name="剩余寿命预测模型调研"/>
    <w:p>
      <w:pPr>
        <w:pStyle w:val="Heading2"/>
      </w:pPr>
      <w:r>
        <w:rPr>
          <w:rFonts w:ascii="黑体" w:hAnsi="黑体" w:eastAsia="黑体"/>
        </w:rPr>
        <w:t xml:space="preserve">6. 剩余寿命预测模型调研</w:t>
      </w:r>
    </w:p>
    <w:bookmarkStart w:id="34" w:name="传统模型"/>
    <w:p>
      <w:pPr>
        <w:pStyle w:val="Heading3"/>
      </w:pPr>
      <w:r>
        <w:rPr>
          <w:rFonts w:ascii="黑体" w:hAnsi="黑体" w:eastAsia="黑体"/>
        </w:rPr>
        <w:t xml:space="preserve">6.1 传统模型</w:t>
      </w:r>
    </w:p>
    <w:p>
      <w:pPr>
        <w:pStyle w:val="FirstParagraph"/>
      </w:pPr>
      <w:r>
        <w:rPr>
          <w:rFonts w:ascii="宋体" w:hAnsi="宋体" w:eastAsia="宋体"/>
        </w:rPr>
        <w:t xml:space="preserve">传统模型包括线性回归、随机森林、梯度提升树和 XGBoost。这些方法训练稳定、解释性较强，适合作为基线方案，但对于原始时序建模能力有限。项目保留这类方法作为参考基线，不作为主训练框架核心。</w:t>
      </w:r>
    </w:p>
    <w:bookmarkEnd w:id="34"/>
    <w:bookmarkStart w:id="35" w:name="序列深度学习模型"/>
    <w:p>
      <w:pPr>
        <w:pStyle w:val="Heading3"/>
      </w:pPr>
      <w:r>
        <w:rPr>
          <w:rFonts w:ascii="黑体" w:hAnsi="黑体" w:eastAsia="黑体"/>
        </w:rPr>
        <w:t xml:space="preserve">6.2 序列深度学习模型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CNN：擅长局部模式提取，适合对固定长度振动窗口进行建模。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RNN / LSTM：适合建模时间依赖关系，但训练速度相对较慢。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Transformer：适合处理中长序列和注意力分析，便于输出注意力热图，但计算代价较高。</w:t>
      </w:r>
    </w:p>
    <w:p>
      <w:pPr>
        <w:pStyle w:val="FirstParagraph"/>
      </w:pPr>
      <w:r>
        <w:rPr>
          <w:rFonts w:ascii="宋体" w:hAnsi="宋体" w:eastAsia="宋体"/>
        </w:rPr>
        <w:t xml:space="preserve">综合考虑课程展示效果和工程扩展性，项目将 CNN、RNN 和 Transformer 都纳入实现范围。</w:t>
      </w:r>
    </w:p>
    <w:bookmarkEnd w:id="35"/>
    <w:bookmarkStart w:id="36" w:name="退化分析与不确定性建模"/>
    <w:p>
      <w:pPr>
        <w:pStyle w:val="Heading3"/>
      </w:pPr>
      <w:r>
        <w:rPr>
          <w:rFonts w:ascii="黑体" w:hAnsi="黑体" w:eastAsia="黑体"/>
        </w:rPr>
        <w:t xml:space="preserve">6.3 退化分析与不确定性建模</w:t>
      </w:r>
    </w:p>
    <w:p>
      <w:pPr>
        <w:pStyle w:val="FirstParagraph"/>
      </w:pPr>
      <w:r>
        <w:rPr>
          <w:rFonts w:ascii="宋体" w:hAnsi="宋体" w:eastAsia="宋体"/>
        </w:rPr>
        <w:t xml:space="preserve">除了直接 RUL 预测，项目还调研了以下扩展能力：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3sigma 与 FPT 退化阶段划分，用于退化阶段标注与健康状态辅助分析。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Monte Carlo Dropout 不确定性估计，用于输出均值和方差。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Kaplan-Meier / Cox 等生存分析方法，用于未来存活概率评估。</w:t>
      </w:r>
    </w:p>
    <w:p>
      <w:pPr>
        <w:pStyle w:val="FirstParagraph"/>
      </w:pPr>
      <w:r>
        <w:rPr>
          <w:rFonts w:ascii="宋体" w:hAnsi="宋体" w:eastAsia="宋体"/>
        </w:rPr>
        <w:t xml:space="preserve">这些能力能够提升系统完整度，因此被纳入总体方案。</w:t>
      </w:r>
    </w:p>
    <w:bookmarkEnd w:id="36"/>
    <w:bookmarkEnd w:id="37"/>
    <w:bookmarkStart w:id="42" w:name="数据集来源与可用性分析"/>
    <w:p>
      <w:pPr>
        <w:pStyle w:val="Heading2"/>
      </w:pPr>
      <w:r>
        <w:rPr>
          <w:rFonts w:ascii="黑体" w:hAnsi="黑体" w:eastAsia="黑体"/>
        </w:rPr>
        <w:t xml:space="preserve">7. 数据集来源与可用性分析</w:t>
      </w:r>
    </w:p>
    <w:bookmarkStart w:id="38" w:name="xjtu-sy"/>
    <w:p>
      <w:pPr>
        <w:pStyle w:val="Heading3"/>
      </w:pPr>
      <w:r>
        <w:rPr>
          <w:rFonts w:ascii="黑体" w:hAnsi="黑体" w:eastAsia="黑体"/>
        </w:rPr>
        <w:t xml:space="preserve">7.1 XJTU-SY</w:t>
      </w:r>
    </w:p>
    <w:p>
      <w:pPr>
        <w:pStyle w:val="FirstParagraph"/>
      </w:pPr>
      <w:r>
        <w:rPr>
          <w:rFonts w:ascii="宋体" w:hAnsi="宋体" w:eastAsia="宋体"/>
        </w:rPr>
        <w:t xml:space="preserve">XJTU-SY 适合研究轴承全寿命退化过程，优点是数据结构清晰、全寿命退化过程明确，适合做 RUL 和阶段分析。潜在风险在于下载入口可能发生变更，因此需要设计多入口兼容和本地目录加载能力。</w:t>
      </w:r>
    </w:p>
    <w:bookmarkEnd w:id="38"/>
    <w:bookmarkStart w:id="39" w:name="phm2012-femto"/>
    <w:p>
      <w:pPr>
        <w:pStyle w:val="Heading3"/>
      </w:pPr>
      <w:r>
        <w:rPr>
          <w:rFonts w:ascii="黑体" w:hAnsi="黑体" w:eastAsia="黑体"/>
        </w:rPr>
        <w:t xml:space="preserve">7.2 PHM2012 / FEMTO</w:t>
      </w:r>
    </w:p>
    <w:p>
      <w:pPr>
        <w:pStyle w:val="FirstParagraph"/>
      </w:pPr>
      <w:r>
        <w:rPr>
          <w:rFonts w:ascii="宋体" w:hAnsi="宋体" w:eastAsia="宋体"/>
        </w:rPr>
        <w:t xml:space="preserve">PHM2012 / FEMTO 是轴承寿命预测经典数据集，包含多工况数据，适合作为真实数据验证基准。需要注意的问题主要是压缩包体积大、目录层次较多，需要针对加速度与温度文件做统一抽象。</w:t>
      </w:r>
    </w:p>
    <w:bookmarkEnd w:id="39"/>
    <w:bookmarkStart w:id="40" w:name="数据集选型结论"/>
    <w:p>
      <w:pPr>
        <w:pStyle w:val="Heading3"/>
      </w:pPr>
      <w:r>
        <w:rPr>
          <w:rFonts w:ascii="黑体" w:hAnsi="黑体" w:eastAsia="黑体"/>
        </w:rPr>
        <w:t xml:space="preserve">7.3 数据集选型结论</w:t>
      </w:r>
    </w:p>
    <w:p>
      <w:pPr>
        <w:pStyle w:val="FirstParagraph"/>
      </w:pPr>
      <w:r>
        <w:rPr>
          <w:rFonts w:ascii="宋体" w:hAnsi="宋体" w:eastAsia="宋体"/>
        </w:rPr>
        <w:t xml:space="preserve">项目最终同时采用 XJTU-SY 和 PHM2012 / FEMTO：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两者互补，可覆盖不同目录结构和工况组织方式。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有利于验证数据加载器的通用性。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有利于课程展示中说明系统不是只适配一个演示数据集。</w:t>
      </w:r>
    </w:p>
    <w:bookmarkEnd w:id="40"/>
    <w:bookmarkStart w:id="41" w:name="数据特征与处理策略细化"/>
    <w:p>
      <w:pPr>
        <w:pStyle w:val="Heading3"/>
      </w:pPr>
      <w:r>
        <w:rPr>
          <w:rFonts w:ascii="黑体" w:hAnsi="黑体" w:eastAsia="黑体"/>
        </w:rPr>
        <w:t xml:space="preserve">7.4 数据特征与处理策略细化</w:t>
      </w:r>
    </w:p>
    <w:p>
      <w:pPr>
        <w:pStyle w:val="FirstParagraph"/>
      </w:pPr>
      <w:r>
        <w:rPr>
          <w:rFonts w:ascii="宋体" w:hAnsi="宋体" w:eastAsia="宋体"/>
        </w:rPr>
        <w:t xml:space="preserve">技术预研阶段对两个数据集的处理策略如下：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维度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XJTU-SY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PHM2012/FEMTO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处理策略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时间粒度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快照间隔约 1 分钟，单个快照较长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快照间隔约 10 秒，单个加速度快照较短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在实体层记录采样率、快照索引和时间单位，避免把文件序号误认为统一物理时间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通道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水平、垂直振动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水平、垂直振动，并存在温度文件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当前 RUL 主线以振动为主，温度作为可扩展字段保留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退化表现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后期振动能量和冲击特征明显增强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后期振动增强更密集，部分序列存在突变阶段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使用 RMS、峰值、峭度、谱能量、谱熵等特征同时刻画强度与冲击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划分方式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可按轴承编号和工况划分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Learning/Test/Full_Test 语义更接近竞赛设置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 workflow 明确记录划分规则，防止数据泄漏</w:t>
            </w:r>
          </w:p>
        </w:tc>
      </w:tr>
    </w:tbl>
    <w:p>
      <w:pPr>
        <w:pStyle w:val="BodyText"/>
      </w:pPr>
      <w:r>
        <w:rPr>
          <w:rFonts w:ascii="宋体" w:hAnsi="宋体" w:eastAsia="宋体"/>
        </w:rPr>
        <w:t xml:space="preserve">因此，项目不直接把原始信号硬塞给单一模型，而是先建立可解释特征层。这样既能支撑传统模型和深度模型，也便于在课程答辩中说明退化规律，而不是只展示一个黑盒分数。</w:t>
      </w:r>
    </w:p>
    <w:bookmarkEnd w:id="41"/>
    <w:bookmarkEnd w:id="42"/>
    <w:bookmarkStart w:id="46" w:name="技术方案对比与最终选型"/>
    <w:p>
      <w:pPr>
        <w:pStyle w:val="Heading2"/>
      </w:pPr>
      <w:r>
        <w:rPr>
          <w:rFonts w:ascii="黑体" w:hAnsi="黑体" w:eastAsia="黑体"/>
        </w:rPr>
        <w:t xml:space="preserve">8. 技术方案对比与最终选型</w:t>
      </w:r>
    </w:p>
    <w:bookmarkStart w:id="43" w:name="总体方案对比"/>
    <w:p>
      <w:pPr>
        <w:pStyle w:val="Heading3"/>
      </w:pPr>
      <w:r>
        <w:rPr>
          <w:rFonts w:ascii="黑体" w:hAnsi="黑体" w:eastAsia="黑体"/>
        </w:rPr>
        <w:t xml:space="preserve">8.1 总体方案对比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维度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轻量脚本方案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单模型研究方案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本项目采用方案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数据集支持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单数据集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单或双数据集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多数据集统一抽象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预处理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固定脚本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固定流程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组件化管道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单模型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少量模型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多模型可切换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训练过程监控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基本无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简单日志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TensorBoard + 回调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实验复现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较弱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配置、历史、结果统一记录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软件工程文档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薄弱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一般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完整课程文档体系</w:t>
            </w:r>
          </w:p>
        </w:tc>
      </w:tr>
    </w:tbl>
    <w:bookmarkEnd w:id="43"/>
    <w:bookmarkStart w:id="44" w:name="最终选型结论"/>
    <w:p>
      <w:pPr>
        <w:pStyle w:val="Heading3"/>
      </w:pPr>
      <w:r>
        <w:rPr>
          <w:rFonts w:ascii="黑体" w:hAnsi="黑体" w:eastAsia="黑体"/>
        </w:rPr>
        <w:t xml:space="preserve">8.2 最终选型结论</w:t>
      </w:r>
    </w:p>
    <w:p>
      <w:pPr>
        <w:pStyle w:val="FirstParagraph"/>
      </w:pPr>
      <w:r>
        <w:rPr>
          <w:rFonts w:ascii="宋体" w:hAnsi="宋体" w:eastAsia="宋体"/>
        </w:rPr>
        <w:t xml:space="preserve">最终技术方案为：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Python 3.11+ 作为唯一开发语言。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uv 作为唯一环境与依赖管理工具。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NumPy、Pandas、Scikit-learn、PyTorch、Matplotlib、Seaborn、TensorBoard 作为核心基础栈。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XGBoost、tsfresh、lifelines 作为高级可选增强栈。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XJTU-SY 与 PHM2012 / FEMTO 作为主要真实数据集。</w:t>
      </w:r>
    </w:p>
    <w:bookmarkEnd w:id="44"/>
    <w:bookmarkStart w:id="45" w:name="技术难点评估与取舍"/>
    <w:p>
      <w:pPr>
        <w:pStyle w:val="Heading3"/>
      </w:pPr>
      <w:r>
        <w:rPr>
          <w:rFonts w:ascii="黑体" w:hAnsi="黑体" w:eastAsia="黑体"/>
        </w:rPr>
        <w:t xml:space="preserve">8.3 技术难点评估与取舍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技术方向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价值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风险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本项目取舍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端到端原始信号深度学习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可减少手工特征依赖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训练资源要求高，解释成本高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作为扩展方向保留，结题主线采用特征序列深度模型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传统特征 + 回归模型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稳定、可解释、运行快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表达能力有限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作为 baseline 和教学说明基础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兼顾局部特征、时序关系和注意力权重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参数较多，需要明确输入序列构造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用于第一篇论文复现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适合序列建模和长依赖表达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作者设置与本地资源可能不完全一致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用于第二篇论文结构复现和工程适配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生存分析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能表达失效/存活概率视角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数据删失与风险解释要求较高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保留接口和基础能力，作为 RUL 主线补充</w:t>
            </w:r>
          </w:p>
        </w:tc>
      </w:tr>
    </w:tbl>
    <w:bookmarkEnd w:id="45"/>
    <w:bookmarkEnd w:id="46"/>
    <w:bookmarkStart w:id="47" w:name="预研结论"/>
    <w:p>
      <w:pPr>
        <w:pStyle w:val="Heading2"/>
      </w:pPr>
      <w:r>
        <w:rPr>
          <w:rFonts w:ascii="黑体" w:hAnsi="黑体" w:eastAsia="黑体"/>
        </w:rPr>
        <w:t xml:space="preserve">9. 预研结论</w:t>
      </w:r>
    </w:p>
    <w:p>
      <w:pPr>
        <w:pStyle w:val="FirstParagraph"/>
      </w:pPr>
      <w:r>
        <w:rPr>
          <w:rFonts w:ascii="宋体" w:hAnsi="宋体" w:eastAsia="宋体"/>
        </w:rPr>
        <w:t xml:space="preserve">预研结论如下：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技术栈成熟，可在课程周期内完成。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数据集可获取，已具备真实数据验证条件。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深度学习与传统方法可以在同一框架下共存，利于对比实验。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uv 可以有效提升环境一致性和可复现性，应作为统一规范写入后续所有文档。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后续文档需要统一采用同一模块划分、同一术语和同一时间线，避免需求、设计和测试口径不一致。</w:t>
      </w:r>
    </w:p>
    <w:bookmarkEnd w:id="47"/>
    <w:bookmarkEnd w:id="48"/>
    <w:sectPr>
      <w:pgMar w:top="1361" w:bottom="124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03_技术预研报告</dc:title>
  <dc:creator>zyj、cyy、zdh、zy</dc:creator>
  <cp:keywords>RUL, 预测性维护, 工业轴承, 软件工程</cp:keywords>
  <dcterms:created xsi:type="dcterms:W3CDTF">2026-06-14T10:06:19Z</dcterms:created>
  <dcterms:modified xsi:type="dcterms:W3CDTF">2026-06-14T10:06:19Z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