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模型与实验设计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工业轴承设备剩余寿命预测系统的实现：模型与实验设计说明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模型与实验设计说明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特征体系、模型结构、论文复现、指标解释、实验边界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新增模型与实验设计说明，统一两篇论文复现指标叙事</w:t>
            </w:r>
          </w:p>
        </w:tc>
      </w:tr>
    </w:tbl>
    <w:bookmarkEnd w:id="21"/>
    <w:bookmarkStart w:id="23" w:name="为什么先做-19-维特征"/>
    <w:p>
      <w:pPr>
        <w:pStyle w:val="Heading2"/>
      </w:pPr>
      <w:r>
        <w:rPr>
          <w:rFonts w:ascii="宋体" w:hAnsi="宋体" w:eastAsia="宋体"/>
          <w:color w:val="000000"/>
        </w:rPr>
        <w:t xml:space="preserve">1. 为什么先做 19 维特征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原始振动快照长度不同：XJTU-SY 每个快照 32768 点，PHM2012 每个加速度文件 2560 点。直接输入原始信号可以保留细节，但训练成本较高，且不利于课程答辩中解释数据规律。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因此论文复现主线采用 19 维时频域特征：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RMS、峰值、谱能量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观察振动强度是否随退化增强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冲击特征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峭度、峰值因子、脉冲因子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捕捉后期尖峰和冲击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稳定性特征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均值、方差、标准差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描述整体偏移和波动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频谱特征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主频、谱质心、谱熵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补充频率分布变化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输出，并被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组织成时间序列输入。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 19 维字段如下。这里的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14 个时域特征 + 5 个频域特征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是项目主线自己用 NumPy/FFT 实现的默认特征集合，不是调用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自动生成特征。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在仓库中只作为可选扩展依赖，不作为本轮论文复现的主输入来源。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序号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计算含义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观察信号整体偏移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variance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var(x)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描述波动强度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standard_deviation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std(x)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方差的同量纲表达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sqrt(mean(x^2))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表征振动有效强度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捕捉最大冲击幅值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peak_to_peak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max(x)-min(x)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描述全幅值范围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mean(abs(x))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作为形状类特征分母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shape_factor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反映波形形状变化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crest_factor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peak/rms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反映尖峰相对有效值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impulse_factor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peak/absolute_mean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反映瞬时冲击程度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peak/(mean(sqrt(abs(x)))^2)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对局部冲击更敏感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clearance_factor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当前实现与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margin_factor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相同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保留论文特征名兼容性，不单独宣称物理差异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kurtosis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时域/冲击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四阶中心矩 / 方差平方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识别后期尖峰和冲击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skewness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时域/稳定性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标准化三阶矩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观察分布不对称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dominant_frequency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 DC 最大 FFT 幅值对应频率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识别主要振动频率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spectrum_energy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频域/强度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sum(abs(rfft(x))^2)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衡量频谱总能量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spectral_centroid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sum(f*power)/sum(power)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描述频谱能量重心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spectral_rms_frequency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sqrt(sum(f^2*power)/sum(power))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描述频率均方根</w:t>
            </w:r>
          </w:p>
        </w:tc>
      </w:tr>
      <w:tr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spectral_entropy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-sum(p*log2(p))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描述频谱分散程度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综合健康指标并不是把 19 维简单求平均。当前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build_health_indicator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只选用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rms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kurtosis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crest_factor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spectrum_energy</w:t>
      </w:r>
      <w:r>
        <w:rPr>
          <w:rFonts w:ascii="宋体" w:hAnsi="宋体" w:eastAsia="宋体"/>
          <w:color w:val="000000"/>
        </w:rPr>
        <w:t xml:space="preserve">，先做标准化再求均值并归一化，目的是把强度、冲击和频谱能量压缩成一条便于观察的趋势曲线。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RUL 指标口径" title="" id="1" name="Picture"/>
            <a:graphic>
              <a:graphicData uri="http://schemas.openxmlformats.org/drawingml/2006/picture">
                <pic:pic>
                  <pic:nvPicPr>
                    <pic:cNvPr descr="../assets/project-owner/rul-metric-taxonom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RUL 指标口径</w:t>
      </w:r>
    </w:p>
    <w:bookmarkEnd w:id="23"/>
    <w:bookmarkStart w:id="24" w:name="第一篇论文cnn-lstm-am"/>
    <w:p>
      <w:pPr>
        <w:pStyle w:val="Heading2"/>
      </w:pPr>
      <w:r>
        <w:rPr>
          <w:rFonts w:ascii="宋体" w:hAnsi="宋体" w:eastAsia="宋体"/>
          <w:color w:val="000000"/>
        </w:rPr>
        <w:t xml:space="preserve">2. 第一篇论文：CNN-LSTM-AM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年 CNN-LSTM-AM 的核心思想是：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19 维特征描述每个快照；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CNN 提取局部模式；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LSTM 建模时间依赖；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 attention 聚合关键时间步；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 RUL 回归预测。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项目实现中，</w:t>
      </w:r>
      <w:r>
        <w:rPr>
          <w:rStyle w:val="VerbatimChar"/>
          <w:rFonts w:ascii="宋体" w:hAnsi="宋体" w:eastAsia="宋体"/>
          <w:color w:val="000000"/>
        </w:rPr>
        <w:t xml:space="preserve">CNNLSTMAttention(use_attention=True)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CNN-LSTM-AM，</w:t>
      </w:r>
      <w:r>
        <w:rPr>
          <w:rStyle w:val="VerbatimChar"/>
          <w:rFonts w:ascii="宋体" w:hAnsi="宋体" w:eastAsia="宋体"/>
          <w:color w:val="000000"/>
        </w:rPr>
        <w:t xml:space="preserve">use_attention=False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对应 CNN-LSTM baseline。这样可以在同一套训练器和数据集上比较 attention 分支带来的变化。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真实训练摘要如下：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解释：按 RMSE 看，XJTU-SY 上 attention 版本略低于 baseline；PHM2012 上没有稳定优势。Huang Score 是惩罚型分数，同一口径下越小越好，但本轮小样本结果不用于宣称 attention 在完整实验中一定更优。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该表来自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的摘要版本。第一篇复现的测试预测数由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记录，训练过程由每个模型目录下的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记录；答辩时应同时说明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有预测样本、有 epoch 历史、有对比表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，而不是只展示最终 RMSE。</w:t>
      </w:r>
    </w:p>
    <w:bookmarkEnd w:id="24"/>
    <w:bookmarkStart w:id="25" w:name="第二篇论文xlstm-transformer"/>
    <w:p>
      <w:pPr>
        <w:pStyle w:val="Heading2"/>
      </w:pPr>
      <w:r>
        <w:rPr>
          <w:rFonts w:ascii="宋体" w:hAnsi="宋体" w:eastAsia="宋体"/>
          <w:color w:val="000000"/>
        </w:rPr>
        <w:t xml:space="preserve">3. 第二篇论文：xLSTM-Transformer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年 xLSTM-Transformer 适合作为第二篇复现，因为它同时覆盖 XJTU-SY 和 PHM2012，并公开训练/测试轴承划分、序列长度、学习率、epoch 和 RMSE/R2/Score 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项目实现包含三类模型：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论文结构复现主模型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去掉 xLSTM 分支的 Transformer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LSTM 与 Transformer 组合 baseline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真实训练中，XJTU-SY 三工况和 PHM2012 三工况均完成 8 epoch 小样本训练。XLSTM-Transformer 主要结果如下：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3054.891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3033.124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3045.704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1369198.940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514657455.688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262557.238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 R2 表示当前小样本、短训练设置下模型拟合弱于均值基线。这不是要回避的缺点，而是复现边界的一部分。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部分工况的 NormalizedRMSE 大于 1、PHM2012 Score 数值很大，说明短训练下预测误差已经超过测试目标范围或触发了指数惩罚。它暴露的是当前训练规模不足，而不是 Score 实现错误。完整 18 行 baseline 对比保存在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25"/>
    <w:bookmarkStart w:id="26" w:name="指标怎么读"/>
    <w:p>
      <w:pPr>
        <w:pStyle w:val="Heading2"/>
      </w:pPr>
      <w:r>
        <w:rPr>
          <w:rFonts w:ascii="宋体" w:hAnsi="宋体" w:eastAsia="宋体"/>
          <w:color w:val="000000"/>
        </w:rPr>
        <w:t xml:space="preserve">4. 指标怎么读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指标需要分层解释：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指标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回答的问题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RMSE、MAE、NormalizedRMSE、SMAPE、R2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预测值离真实 RUL 有多远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论文原版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HuangRulScore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是否按 Huang 论文相对误差公式输出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挑战赛惩罚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PHM2012Score、PHM2008Score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提前/滞后预测的非对称惩罚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模型偏早还是偏晚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答辩中应先说明指标口径，再解释数值。不能把 Huang Score 和 PHM2012 challenge-style Score 混成同一种指标；Huang Score 完美预测为 0，同一口径下越小越好。</w:t>
      </w:r>
    </w:p>
    <w:bookmarkEnd w:id="26"/>
    <w:bookmarkStart w:id="27" w:name="实验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实验边界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本项目复现的是论文结构、训练流程、数据划分思想和指标体系。它不声称：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逐行复刻作者源码；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完整执行论文中的全部 epoch 和全部样本；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 8 epoch 小样本结果代表论文级最终性能；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当前模型已经达到生产部署效果。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更严谨的后续实验应扩大样本量、增加 epoch、补充多随机种子，并对不同工况做统计分析。</w:t>
      </w:r>
    </w:p>
    <w:bookmarkEnd w:id="27"/>
    <w:bookmarkStart w:id="28" w:name="源码与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6. 源码与测试依据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25_模型与实验设计说明</dc:title>
  <dc:creator>zyj、cyy、zdh、zy</dc:creator>
  <cp:keywords>RUL, 预测性维护, 工业轴承, 软件工程</cp:keywords>
  <dcterms:created xsi:type="dcterms:W3CDTF">2026-06-15T00:20:16Z</dcterms:created>
  <dcterms:modified xsi:type="dcterms:W3CDTF">2026-06-15T00:20:16Z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