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项目技术目标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需要哪些技术才能支撑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真实数据接入 + 多模型训练 + 实验可复现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这一完整流程。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如何在保证可运行的前提下，为后续扩展预留空间。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宋体" w:hAnsi="宋体" w:eastAsia="宋体"/>
          <w:color w:val="000000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宋体" w:hAnsi="宋体" w:eastAsia="宋体"/>
          <w:color w:val="000000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宋体" w:hAnsi="宋体" w:eastAsia="宋体"/>
          <w:color w:val="000000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宋体" w:hAnsi="宋体" w:eastAsia="宋体"/>
          <w:color w:val="000000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宋体" w:hAnsi="宋体" w:eastAsia="宋体"/>
          <w:color w:val="000000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宋体" w:hAnsi="宋体" w:eastAsia="宋体"/>
          <w:color w:val="000000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宋体" w:hAnsi="宋体" w:eastAsia="宋体"/>
          <w:color w:val="000000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uv 环境管理方案说明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能够通过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固定版本，降低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在我电脑能跑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便于区分基础依赖和高级可选依赖。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advanced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可选依赖包含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dev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5.1 预处理候选方案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多通道组织：同时支持水平振动、垂直振动和温度通道。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综合评估后，项目采用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默认轻量预处理 + 可扩展管道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作为高级可选方案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最终选型为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基础统计特征 + 频域特征 + 可选自动特征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宋体" w:hAnsi="宋体" w:eastAsia="宋体"/>
          <w:color w:val="000000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宋体" w:hAnsi="宋体" w:eastAsia="宋体"/>
          <w:color w:val="000000"/>
        </w:rPr>
        <w:t xml:space="preserve">6.1 传统模型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宋体" w:hAnsi="宋体" w:eastAsia="宋体"/>
          <w:color w:val="000000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Transformer：适合处理中长序列和注意力分析，便于输出注意力热图，但计算代价较高。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宋体" w:hAnsi="宋体" w:eastAsia="宋体"/>
          <w:color w:val="000000"/>
        </w:rPr>
        <w:t xml:space="preserve">6.3 退化分析与不确定性建模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Kaplan-Meier / Cox 等生存分析方法，用于未来存活概率评估。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宋体" w:hAnsi="宋体" w:eastAsia="宋体"/>
          <w:color w:val="000000"/>
        </w:rPr>
        <w:t xml:space="preserve">7.1 XJTU-SY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宋体" w:hAnsi="宋体" w:eastAsia="宋体"/>
          <w:color w:val="000000"/>
        </w:rPr>
        <w:t xml:space="preserve">7.2 PHM2012 / FEMTO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7.3 数据集选型结论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宋体" w:hAnsi="宋体" w:eastAsia="宋体"/>
          <w:color w:val="000000"/>
        </w:rPr>
        <w:t xml:space="preserve">7.4 数据特征与处理策略细化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宋体" w:hAnsi="宋体" w:eastAsia="宋体"/>
          <w:color w:val="000000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宋体" w:hAnsi="宋体" w:eastAsia="宋体"/>
          <w:color w:val="000000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轻量脚本方案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单模型研究方案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8.2 最终选型结论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最终技术方案为：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宋体" w:hAnsi="宋体" w:eastAsia="宋体"/>
          <w:color w:val="000000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技术方向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价值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预研结论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预研结论如下：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2026-06-15T00:18:28Z</dcterms:created>
  <dcterms:modified xsi:type="dcterms:W3CDTF">2026-06-15T00:18:28Z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