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V5.0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16 页新版网页 PPT 重构论文复现、指标解释和数据特征叙事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V5.0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同步指标驱动补充实验，明确 external SOTA、tsfresh 和 RULSurv 边界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项目目标和交付内容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目标：项目交付一条可复查的轴承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汇报重点：需求分析、数据集介绍、项目架构、特征分析、训练展示、结果边界和 Q&amp;A。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标签、模型训练、评价指标、tsfresh/sktime/RULSurv 补充证据、notebook 示例和结题文档。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口径提醒：先讲业务问题和数据语义，再讲模型和指标。</w:t>
      </w:r>
    </w:p>
    <w:bookmarkEnd w:id="23"/>
    <w:bookmarkStart w:id="24" w:name="任务定义预测剩余寿命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任务定义：预测剩余寿命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回归预测，不展开离散状态识别任务；生存分析和失效概率保留为扩展接口，不作为本轮主验收。</w:t>
      </w:r>
    </w:p>
    <w:bookmarkEnd w:id="24"/>
    <w:bookmarkStart w:id="25" w:name="两个数据集记录的是轴承全寿命退化轨迹"/>
    <w:p>
      <w:pPr>
        <w:pStyle w:val="Heading2"/>
      </w:pPr>
      <w:r>
        <w:rPr>
          <w:rFonts w:ascii="宋体" w:hAnsi="宋体" w:eastAsia="宋体"/>
          <w:color w:val="000000"/>
        </w:rPr>
        <w:t xml:space="preserve">4. 两个数据集记录的是轴承全寿命退化轨迹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快照时长、约 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每个振动快照对应同一轴承在某一时刻的采样记录，目录结构、采样间隔和 RUL 语义需要在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按官方条目补充，不能只按本地文件数推断。</w:t>
      </w:r>
    </w:p>
    <w:bookmarkEnd w:id="25"/>
    <w:bookmarkStart w:id="26" w:name="xjtu-sy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特征观察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0.617 上升到约 4.080，峰值和健康指标在寿命后段明显抬升。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特征观察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0.428 上升到约 2.068，后期振动强度和冲击变化更明显。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多轴承统计用于验证特征趋势"/>
    <w:p>
      <w:pPr>
        <w:pStyle w:val="Heading2"/>
      </w:pPr>
      <w:r>
        <w:rPr>
          <w:rFonts w:ascii="宋体" w:hAnsi="宋体" w:eastAsia="宋体"/>
          <w:color w:val="000000"/>
        </w:rPr>
        <w:t xml:space="preserve">7. 多轴承统计用于验证特征趋势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新增多轴承统计图，覆盖 XJTU-SY 与 PHM2012 的多个代表轴承。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统计口径：每个轴承均匀抽样 80 个快照，前 20% 作为早期，后 20% 作为后期。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四个代表轴承后期 RMS 均高于早期，放大倍数约 2.72 到 5.60；谱能量放大更明显。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内部差异更明显，短序列不一定呈现单调退化。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摘要同时比较 RMS、峰值、峭度、峰值因子、谱能量和谱熵，不只是单一 RMS 曲线。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结论：代表曲线用于解释特征含义，多轴承摘要用于补充不同工况和不同轴承之间的差异。</w:t>
      </w:r>
    </w:p>
    <w:bookmarkEnd w:id="28"/>
    <w:bookmarkStart w:id="29" w:name="维特征覆盖强度冲击和频谱"/>
    <w:p>
      <w:pPr>
        <w:pStyle w:val="Heading2"/>
      </w:pPr>
      <w:r>
        <w:rPr>
          <w:rFonts w:ascii="宋体" w:hAnsi="宋体" w:eastAsia="宋体"/>
          <w:color w:val="000000"/>
        </w:rPr>
        <w:t xml:space="preserve">8. 19 维特征覆盖强度、冲击和频谱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强度特征：RMS、峰值、峰峰值、谱能量。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冲击特征：峭度、峰值因子、脉冲因子、裕度因子。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稳定性特征：均值、方差、标准差、偏度。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频谱特征：主频、谱质心、谱均方根频率、谱熵。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特征由项目代码使用 NumPy/FFT 实现，不是自动特征提取库生成；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同公式，作为论文特征名兼容字段保留。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快照级特征按快照先后组织为长度 5 或 10 的特征序列。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生成；若只用快照序号，则标注为 snapshot-level RUL。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tsfresh 已补充 Minimal/Efficient train-only 自动特征筛选和 held-out baseline：Minimal top feature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vertical__maximum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correlation 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0.200994</w:t>
      </w:r>
      <w:r>
        <w:rPr>
          <w:rFonts w:ascii="宋体" w:hAnsi="宋体" w:eastAsia="宋体"/>
          <w:color w:val="000000"/>
        </w:rPr>
        <w:t xml:space="preserve">，Efficient top feature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horizontal__partial_autocorrelation__lag_1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correlation 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0.424468</w:t>
      </w:r>
      <w:r>
        <w:rPr>
          <w:rFonts w:ascii="宋体" w:hAnsi="宋体" w:eastAsia="宋体"/>
          <w:color w:val="000000"/>
        </w:rPr>
        <w:t xml:space="preserve">；</w:t>
      </w:r>
      <w:r>
        <w:rPr>
          <w:rStyle w:val="VerbatimChar"/>
          <w:rFonts w:ascii="宋体" w:hAnsi="宋体" w:eastAsia="宋体"/>
          <w:color w:val="000000"/>
        </w:rPr>
        <w:t xml:space="preserve">tsfresh Minimal selected + RandomForest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mean normalized RMSE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0.315629</w:t>
      </w:r>
      <w:r>
        <w:rPr>
          <w:rFonts w:ascii="宋体" w:hAnsi="宋体" w:eastAsia="宋体"/>
          <w:color w:val="000000"/>
        </w:rPr>
        <w:t xml:space="preserve">，</w:t>
      </w:r>
      <w:r>
        <w:rPr>
          <w:rStyle w:val="VerbatimChar"/>
          <w:rFonts w:ascii="宋体" w:hAnsi="宋体" w:eastAsia="宋体"/>
          <w:color w:val="000000"/>
        </w:rPr>
        <w:t xml:space="preserve">tsfresh Efficient selected + RandomForest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0.318682</w:t>
      </w:r>
      <w:r>
        <w:rPr>
          <w:rFonts w:ascii="宋体" w:hAnsi="宋体" w:eastAsia="宋体"/>
          <w:color w:val="000000"/>
        </w:rPr>
        <w:t xml:space="preserve">，</w:t>
      </w:r>
      <w:r>
        <w:rPr>
          <w:rStyle w:val="VerbatimChar"/>
          <w:rFonts w:ascii="宋体" w:hAnsi="宋体" w:eastAsia="宋体"/>
          <w:color w:val="000000"/>
        </w:rPr>
        <w:t xml:space="preserve">manual 19 + Efficient selected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0.319927</w:t>
      </w:r>
      <w:r>
        <w:rPr>
          <w:rFonts w:ascii="宋体" w:hAnsi="宋体" w:eastAsia="宋体"/>
          <w:color w:val="000000"/>
        </w:rPr>
        <w:t xml:space="preserve">，均优于手工 19 维 RandomForest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0.345365</w:t>
      </w:r>
      <w:r>
        <w:rPr>
          <w:rFonts w:ascii="宋体" w:hAnsi="宋体" w:eastAsia="宋体"/>
          <w:color w:val="000000"/>
        </w:rPr>
        <w:t xml:space="preserve">，但弱于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sktime RocketRegressor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0.263706</w:t>
      </w:r>
      <w:r>
        <w:rPr>
          <w:rFonts w:ascii="宋体" w:hAnsi="宋体" w:eastAsia="宋体"/>
          <w:color w:val="000000"/>
        </w:rPr>
        <w:t xml:space="preserve">，因此仍只能作为自动特征分析旁证。</w:t>
      </w:r>
    </w:p>
    <w:bookmarkEnd w:id="29"/>
    <w:bookmarkStart w:id="30" w:name="系统按数据特征模型和评价分层"/>
    <w:p>
      <w:pPr>
        <w:pStyle w:val="Heading2"/>
      </w:pPr>
      <w:r>
        <w:rPr>
          <w:rFonts w:ascii="宋体" w:hAnsi="宋体" w:eastAsia="宋体"/>
          <w:color w:val="000000"/>
        </w:rPr>
        <w:t xml:space="preserve">9. 系统按数据、特征、模型和评价分层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PHM2012，整理工况、采样率、通道和快照先后。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维时频域特征，构造特征序列和 RUL 标签。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bookmarkEnd w:id="30"/>
    <w:bookmarkStart w:id="31" w:name="难点一先把两个数据集整理成统一样本表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难点一：先把两个数据集整理成统一样本表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先整理采样时间、振动通道和 RUL 标签单位，模型只接收整理后的特征序列。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1"/>
    <w:bookmarkStart w:id="32" w:name="难点二模型输入是一段连续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11. 难点二：模型输入是一段连续特征序列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特征序列保留了快照之间的先后关系，模型输入不再只是某一个孤立文件。</w:t>
      </w:r>
    </w:p>
    <w:bookmarkEnd w:id="32"/>
    <w:bookmarkStart w:id="33" w:name="论文选择看数据模型和指标是否能对齐"/>
    <w:p>
      <w:pPr>
        <w:pStyle w:val="Heading2"/>
      </w:pPr>
      <w:r>
        <w:rPr>
          <w:rFonts w:ascii="宋体" w:hAnsi="宋体" w:eastAsia="宋体"/>
          <w:color w:val="000000"/>
        </w:rPr>
        <w:t xml:space="preserve">12. 论文选择看数据、模型和指标是否能对齐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CNN-LSTM-AM：使用时域和频域特征，模型结构清晰，给出 Score 公式，适合验证 19 维特征、attention 模型和指标实现。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xLSTM-Transformer：同时覆盖 XJTU-SY 与 PHM2012，公开工况划分、序列长度、训练参数和 RMSE/R2/Score，适合做第二篇同规格复现。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选择依据：数据集匹配、结构可实现、baseline 可比较、指标可复查。</w:t>
      </w:r>
    </w:p>
    <w:bookmarkEnd w:id="33"/>
    <w:bookmarkStart w:id="34" w:name="复现实验对齐输入划分模型和指标"/>
    <w:p>
      <w:pPr>
        <w:pStyle w:val="Heading2"/>
      </w:pPr>
      <w:r>
        <w:rPr>
          <w:rFonts w:ascii="宋体" w:hAnsi="宋体" w:eastAsia="宋体"/>
          <w:color w:val="000000"/>
        </w:rPr>
        <w:t xml:space="preserve">13. 复现实验对齐输入、划分、模型和指标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读取真实数据：优先从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 XJTU-SY 与 PHM2012。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构造特征序列：每个快照提取 19 维特征，再按快照先后组成序列。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训练主模型：CNN-LSTM-AM 与 XLSTM-Transformer 均使用真实数据完成 50 epoch 正式训练。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baseline：CNN-LSTM、Feature-Transformer、LSTM-Transformer。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输出指标：RMSE、NormalizedRMSE、R2、Huang Score、PHM Score。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保存证据：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先说明指标口径再看结果差距"/>
    <w:p>
      <w:pPr>
        <w:pStyle w:val="Heading2"/>
      </w:pPr>
      <w:r>
        <w:rPr>
          <w:rFonts w:ascii="宋体" w:hAnsi="宋体" w:eastAsia="宋体"/>
          <w:color w:val="000000"/>
        </w:rPr>
        <w:t xml:space="preserve">14. 先说明指标口径，再看结果差距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原版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挑战赛惩罚指标：PHM/RUL 惩罚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结果口径：代表性数值来自真实数据 50 epoch 训练；每轴承按时间均匀抽样 96 个快照，relative RUL 作为训练目标，并与论文表格指标逐项计算 gap。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边界说明：PHM2012 上负 R2 说明 96 快照抽样和单次训练下仍有拟合不足；PHM2012 Score 数值很大是指数惩罚放大误差，不把单次结果解释为最终性能结论。</w:t>
      </w:r>
    </w:p>
    <w:bookmarkEnd w:id="35"/>
    <w:bookmarkStart w:id="36" w:name="验收依据是测试输出和文档"/>
    <w:p>
      <w:pPr>
        <w:pStyle w:val="Heading2"/>
      </w:pPr>
      <w:r>
        <w:rPr>
          <w:rFonts w:ascii="宋体" w:hAnsi="宋体" w:eastAsia="宋体"/>
          <w:color w:val="000000"/>
        </w:rPr>
        <w:t xml:space="preserve">15. 验收依据是测试、输出和文档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pytest：59 个测试通过。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 4 个 notebook 测试用例执行验收。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验收分层：demo 验证 API 链路，notebook smoke 验证示例可执行，真实训练验证复现输出，文档导出验证课程交付。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End w:id="36"/>
    <w:bookmarkStart w:id="37" w:name="完成内容限制和下一步"/>
    <w:p>
      <w:pPr>
        <w:pStyle w:val="Heading2"/>
      </w:pPr>
      <w:r>
        <w:rPr>
          <w:rFonts w:ascii="宋体" w:hAnsi="宋体" w:eastAsia="宋体"/>
          <w:color w:val="000000"/>
        </w:rPr>
        <w:t xml:space="preserve">16. 完成内容、限制和下一步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不足：训练规模仍有限，外部 SOTA 尚未本地重跑，tsfresh 相关性整体偏弱，RULSurv held-out 结果是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的保守解码迁移结果，温度信息尚未深入融合。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总结：项目形成三条证据链：真实文件到统一实体，快照信号到特征序列和 RUL 标签，真实训练到预测文件、指标表和测试报告。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结尾口径：成果是链路、50 epoch 训练证据、论文 gap 对照和指标驱动补充实验；边界是每轴承 96 快照抽样、外部 SOTA 仅 source pin / 依赖 probe、tsfresh 不是核心性能突破、RULSurv held-out pass 是项目迁移策略。</w:t>
      </w:r>
    </w:p>
    <w:bookmarkEnd w:id="37"/>
    <w:bookmarkStart w:id="38" w:name="指标驱动补充实验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17. 指标驱动补充实验与边界</w:t>
      </w:r>
    </w:p>
    <w:p>
      <w:pPr>
        <w:numPr>
          <w:ilvl w:val="0"/>
          <w:numId w:val="101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外部 SOTA：AutoRUL、GNN_RUL_Benchmarking、Weibull KIML 已完成 source pin 和依赖 probe，尚未在本地跑出指标，不能宣称这些路线已复现完成。</w:t>
      </w:r>
    </w:p>
    <w:p>
      <w:pPr>
        <w:numPr>
          <w:ilvl w:val="0"/>
          <w:numId w:val="101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tsfresh：已完成 Minimal/Efficient train-only 特征筛选、held-out baseline 和 manual+tsfresh 融合输入验证，但相关性与 RF baseline 证据不足以支撑核心性能突破，只能作为自动特征分析旁证。</w:t>
      </w:r>
    </w:p>
    <w:p>
      <w:pPr>
        <w:numPr>
          <w:ilvl w:val="0"/>
          <w:numId w:val="101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sktime：</w:t>
      </w:r>
      <w:r>
        <w:rPr>
          <w:rStyle w:val="VerbatimChar"/>
          <w:rFonts w:ascii="宋体" w:hAnsi="宋体" w:eastAsia="宋体"/>
          <w:color w:val="000000"/>
        </w:rPr>
        <w:t xml:space="preserve">RocketRegressor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已接入同一 held-out split，mean normalized RMSE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0.263706</w:t>
      </w:r>
      <w:r>
        <w:rPr>
          <w:rFonts w:ascii="宋体" w:hAnsi="宋体" w:eastAsia="宋体"/>
          <w:color w:val="000000"/>
        </w:rPr>
        <w:t xml:space="preserve">，当前优于 tsfresh RandomForest。</w:t>
      </w:r>
    </w:p>
    <w:p>
      <w:pPr>
        <w:numPr>
          <w:ilvl w:val="0"/>
          <w:numId w:val="101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RULSurv：row-level 协议复现 mean true MAE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6.926416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min，状态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PROTOCOL_PASS</w:t>
      </w:r>
      <w:r>
        <w:rPr>
          <w:rFonts w:ascii="宋体" w:hAnsi="宋体" w:eastAsia="宋体"/>
          <w:color w:val="000000"/>
        </w:rPr>
        <w:t xml:space="preserve">；project Bearing1_3 held-out migration mean true MAE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14.307856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min，状态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MIGRATION_PASS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RULSurv 口径：held-out pass 依赖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的保守解码，是项目迁移策略，不能说成原始 RULSurv 自然泛化已经完全解决。</w:t>
      </w:r>
    </w:p>
    <w:bookmarkEnd w:id="38"/>
    <w:bookmarkStart w:id="39" w:name="汇报时间与语气控制"/>
    <w:p>
      <w:pPr>
        <w:pStyle w:val="Heading2"/>
      </w:pPr>
      <w:r>
        <w:rPr>
          <w:rFonts w:ascii="宋体" w:hAnsi="宋体" w:eastAsia="宋体"/>
          <w:color w:val="000000"/>
        </w:rPr>
        <w:t xml:space="preserve">18.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需求分析与数据集介绍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项目架构与特征分析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用数据流说明模块，解释 19 维特征和 tsfresh 弱相关性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训练展示与指标结果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说明论文复现、sktime baseline、RULSurv 两个协议和指标口径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不足边界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明确外部 SOTA 未重跑、tsfresh 弱、RULSurv 0.25 保守解码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 Q&amp;A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客观说明完成内容和后续改进</w:t>
            </w:r>
          </w:p>
        </w:tc>
      </w:tr>
    </w:tbl>
    <w:bookmarkEnd w:id="39"/>
    <w:bookmarkStart w:id="40" w:name="qa-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19. Q&amp;A 备答补充</w:t>
      </w:r>
    </w:p>
    <w:p>
      <w:pPr>
        <w:numPr>
          <w:ilvl w:val="0"/>
          <w:numId w:val="101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老师问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你们是不是追上外部 SOTA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：回答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没有。外部 SOTA 已完成 source pin、依赖 probe 和复现路径设计，但 AutoRUL、GNN、Weibull 尚未在本地跑出指标。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numPr>
          <w:ilvl w:val="0"/>
          <w:numId w:val="101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老师问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tsfresh 是否带来强特征发现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：回答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没有包装成强突破。MinimalFCParameters 下 top correlation 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0.200994</w:t>
      </w:r>
      <w:r>
        <w:rPr>
          <w:rFonts w:ascii="宋体" w:hAnsi="宋体" w:eastAsia="宋体"/>
          <w:color w:val="000000"/>
        </w:rPr>
        <w:t xml:space="preserve">，EfficientFCParameters 下 top correlation 提高到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0.424468</w:t>
      </w:r>
      <w:r>
        <w:rPr>
          <w:rFonts w:ascii="宋体" w:hAnsi="宋体" w:eastAsia="宋体"/>
          <w:color w:val="000000"/>
        </w:rPr>
        <w:t xml:space="preserve">，但 selected/manual+selected 的 RF mean NRMSE 仍在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0.315629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0.319927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区间，弱于 sktime RocketRegressor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0.263706</w:t>
      </w:r>
      <w:r>
        <w:rPr>
          <w:rFonts w:ascii="宋体" w:hAnsi="宋体" w:eastAsia="宋体"/>
          <w:color w:val="000000"/>
        </w:rPr>
        <w:t xml:space="preserve">。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numPr>
          <w:ilvl w:val="0"/>
          <w:numId w:val="101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老师问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RULSurv 是否证明 held-out 泛化完全解决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：回答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不是。row-level CV 与 held-out bearing 是两个口径；held-out Bearing1_3 pass 依赖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的保守解码，是项目迁移策略。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numPr>
          <w:ilvl w:val="0"/>
          <w:numId w:val="101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老师问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测试数为什么变了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：回答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#2 新增 metric-driven evidence 测试、#3 新增 final materials alignment 测试后，全量 pytest 为 59 个测试通过，旧材料中的 39 是过期口径。</w:t>
      </w:r>
      <w:r>
        <w:rPr>
          <w:rFonts w:ascii="宋体" w:hAnsi="宋体" w:eastAsia="宋体"/>
          <w:color w:val="000000"/>
        </w:rPr>
        <w:t xml:space="preserve">”</w:t>
      </w:r>
    </w:p>
    <w:bookmarkEnd w:id="40"/>
    <w:bookmarkEnd w:id="4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2026-06-17T05:24:18Z</dcterms:created>
  <dcterms:modified xsi:type="dcterms:W3CDTF">2026-06-17T05:24:18Z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