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指标驱动实验结果说明与-rul-改进任务书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工业轴承设备剩余寿命预测系统的实现：指标驱动实验结果说明与 RUL 改进任务书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指标驱动实验结果说明与 RUL 改进任务书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结题补充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已执行的 tsfresh/sktime/RULSurv 指标证据、答辩边界和后续工作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根据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next goal.md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整理下一阶段指标驱动 RUL 改进任务书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同步已完成实验结果，删除未来计划模板和空表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 tsfresh Minimal/Efficient 配置对照、manual+tsfresh 融合 baseline 和图表证据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文档目的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本文档用于说明 #2 后已经完成的指标驱动补充实验，以及这些实验在结题答辩中应如何表述。当前重点不是继续扩大模型数量，而是把手工特征、tsfresh、sktime、RULSurv 和 external SOTA evidence 放到同一边界下解释。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统一结论如下：</w:t>
      </w:r>
    </w:p>
    <w:p>
      <w:pPr>
        <w:pStyle w:val="BlockText"/>
      </w:pPr>
      <w:r>
        <w:rPr>
          <w:rFonts w:ascii="宋体" w:hAnsi="宋体" w:eastAsia="宋体"/>
          <w:color w:val="000000"/>
        </w:rPr>
        <w:t xml:space="preserve">项目已完成 tsfresh Minimal/Efficient train-only 特征筛选、tsfresh RUL baseline、manual 19 + tsfresh selected 融合 baseline、sktime Rocket/TimeSeriesForest baseline、strict same-config repeated seed rerun、RULSurv RSF port 以及 external SOTA source pin / dependency probe evidence。结题材料可以引用这些证据，但不能把 external SOTA probe 写成本地复现完成，不能把 tsfresh 写成核心性能突破，也不能把 RULSurv held-out 迁移写成自然泛化完全解决。</w:t>
      </w:r>
    </w:p>
    <w:bookmarkEnd w:id="22"/>
    <w:bookmarkStart w:id="23" w:name="当前数据划分与防泄漏协议"/>
    <w:p>
      <w:pPr>
        <w:pStyle w:val="Heading2"/>
      </w:pPr>
      <w:r>
        <w:rPr>
          <w:rFonts w:ascii="宋体" w:hAnsi="宋体" w:eastAsia="宋体"/>
          <w:color w:val="000000"/>
        </w:rPr>
        <w:t xml:space="preserve">2. 当前数据划分与防泄漏协议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本轮指标驱动实验使用 XJTU-SY condition 1 的固定 held-out bearing split：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取值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dataset_name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condition_name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condition_1_35Hz12kN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train_entities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Bearing1_1, Bearing1_2, Bearing1_4, Bearing1_5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test_entities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Bearing1_3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split_name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train_Bearing1_1_1_2_1_4_1_5_test_Bearing1_3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target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positive-RUL snapshots / held-out RUL regression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防泄漏原则：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先按轴承划分 train/test；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tsfresh selector、scaler 和模型只在 train bearings 上 fit；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Bearing1_3 只用于最终 transform/predict/evaluate；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summary 与 predictions 均保留 dataset、condition、split、seed 和 prediction_count 字段。</w:t>
      </w:r>
    </w:p>
    <w:bookmarkEnd w:id="23"/>
    <w:bookmarkStart w:id="24" w:name="tsfresh-已执行结果"/>
    <w:p>
      <w:pPr>
        <w:pStyle w:val="Heading2"/>
      </w:pPr>
      <w:r>
        <w:rPr>
          <w:rFonts w:ascii="宋体" w:hAnsi="宋体" w:eastAsia="宋体"/>
          <w:color w:val="000000"/>
        </w:rPr>
        <w:t xml:space="preserve">3. tsfresh 已执行结果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tsfresh 的定位是自动特征分析旁证，不是替代主线深度模型的核心突破。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下文中的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 selected features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指只用训练轴承完成筛选后固定下来的自动特征子集；本轮同时报告 Minimal 与 Efficient 两套配置，并额外报告 manual 19 + tsfresh selected features 的融合输入。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已生成证据：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docs/reproduction-evidence/tsfresh_feature_relevance_summary.csv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docs/reproduction-evidence/tsfresh_feature_relevance_summary.md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docs/reproduction-evidence/tsfresh_feature_correlation_bar.png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docs/reproduction-evidence/tsfresh_feature_group_distribution.png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docs/reproduction-evidence/tsfresh_top_feature_rul_trend.png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docs/reproduction-evidence/tsfresh_rul_baseline_summary.csv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docs/reproduction-evidence/tsfresh_rul_baseline_predictions.csv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docs/reproduction-evidence/tsfresh_rul_baseline_nrmse_comparison.png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关键结果：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7"/>
        <w:gridCol w:w="2262"/>
        <w:gridCol w:w="2262"/>
        <w:gridCol w:w="1697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方法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run_count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mean normalized 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manual 19 features + RandomForest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0.345365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手工特征传统模型 baseline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 Minimal selected features + RandomForest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0.315629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Minimal 自动特征 baseline，当前 tsfresh RF 最优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 Efficient selected features + RandomForest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0.318682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Efficient 候选更多，但 RF 指标未超过 Minimal selected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manual 19 + tsfresh Minimal selected + RandomForest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0.333545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融合后优于手工 19，但不如 Minimal selected-only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manual 19 + tsfresh Efficient selected + RandomForest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0.319927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融合后接近 Efficient selected-only，未形成核心突破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特征相关性边界：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MinimalFCParameters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top feature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vertical__maximum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correlation 约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0.200994</w:t>
      </w:r>
      <w:r>
        <w:rPr>
          <w:rFonts w:ascii="宋体" w:hAnsi="宋体" w:eastAsia="宋体"/>
          <w:color w:val="000000"/>
        </w:rPr>
        <w:t xml:space="preserve">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EfficientFCParameters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top feature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horizontal__partial_autocorrelation__lag_1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correlation 约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0.424468</w:t>
      </w:r>
      <w:r>
        <w:rPr>
          <w:rFonts w:ascii="宋体" w:hAnsi="宋体" w:eastAsia="宋体"/>
          <w:color w:val="000000"/>
        </w:rPr>
        <w:t xml:space="preserve">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vertical__absolute_maximum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correlation 约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0.125944</w:t>
      </w:r>
      <w:r>
        <w:rPr>
          <w:rFonts w:ascii="宋体" w:hAnsi="宋体" w:eastAsia="宋体"/>
          <w:color w:val="000000"/>
        </w:rPr>
        <w:t xml:space="preserve">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后续 selected features 中不少 correlation 只有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0.04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左右，p-value 较高；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多个能量、方差、RMS 类候选特征分数为 0；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因此结题材料应说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tsfresh 已完成 Minimal/Efficient 对照和融合输入验证，但相关性与 baseline 证据仍不足以支撑核心性能突破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，不能说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tsfresh 发现了强退化特征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bookmarkEnd w:id="24"/>
    <w:bookmarkStart w:id="25" w:name="sktime-已执行结果"/>
    <w:p>
      <w:pPr>
        <w:pStyle w:val="Heading2"/>
      </w:pPr>
      <w:r>
        <w:rPr>
          <w:rFonts w:ascii="宋体" w:hAnsi="宋体" w:eastAsia="宋体"/>
          <w:color w:val="000000"/>
        </w:rPr>
        <w:t xml:space="preserve">4. sktime 已执行结果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sktime 已作为时间序列回归 baseline 接入，使用同一 held-out split 与 RUL 标签。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已生成证据：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docs/reproduction-evidence/sktime_rul_baseline_summary.csv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docs/reproduction-evidence/sktime_rul_baseline_predictions.csv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关键结果：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97"/>
        <w:gridCol w:w="1397"/>
        <w:gridCol w:w="1863"/>
        <w:gridCol w:w="1863"/>
        <w:gridCol w:w="1397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方法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input_format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run_count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mean normalized 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sktime RocketRegressor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sktime_3d_panel_numpy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0.263706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当前优于 tsfresh RandomForest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sktime TimeSeriesForestRegressor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sktime_3d_panel_numpy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0.315919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与 tsfresh RandomForest 接近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答辩口径：</w:t>
      </w:r>
    </w:p>
    <w:p>
      <w:pPr>
        <w:pStyle w:val="BlockText"/>
      </w:pPr>
      <w:r>
        <w:rPr>
          <w:rFonts w:ascii="宋体" w:hAnsi="宋体" w:eastAsia="宋体"/>
          <w:color w:val="000000"/>
        </w:rPr>
        <w:t xml:space="preserve">sktime RocketRegressor 可以作为强 baseline 参考。它说明时间序列特征变换路线在 held-out Bearing1_3 split 上优于本轮 tsfresh RF，但仍只是项目 split 的 baseline，不等同于外部 SOTA。</w:t>
      </w:r>
    </w:p>
    <w:bookmarkEnd w:id="25"/>
    <w:bookmarkStart w:id="26" w:name="strict-repeated-seed-已执行结果"/>
    <w:p>
      <w:pPr>
        <w:pStyle w:val="Heading2"/>
      </w:pPr>
      <w:r>
        <w:rPr>
          <w:rFonts w:ascii="宋体" w:hAnsi="宋体" w:eastAsia="宋体"/>
          <w:color w:val="000000"/>
        </w:rPr>
        <w:t xml:space="preserve">5. strict repeated seed 已执行结果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已生成证据：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docs/reproduction-evidence/strict_repeated_seed_summary.csv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docs/reproduction-evidence/strict_repeated_seed_config.json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关键结果：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方法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seeds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epochs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mean normalized 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config_hash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0.157007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7ee11220b98a7cc1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Feature-Transformer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0.186688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7ee11220b98a7cc1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该结果解决了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没有重复种子证据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的旧口径，但仍不等同于外部作者源码级复现，也不能覆盖所有数据集和工况。</w:t>
      </w:r>
    </w:p>
    <w:bookmarkEnd w:id="26"/>
    <w:bookmarkStart w:id="27" w:name="rulsurv-已执行结果"/>
    <w:p>
      <w:pPr>
        <w:pStyle w:val="Heading2"/>
      </w:pPr>
      <w:r>
        <w:rPr>
          <w:rFonts w:ascii="宋体" w:hAnsi="宋体" w:eastAsia="宋体"/>
          <w:color w:val="000000"/>
        </w:rPr>
        <w:t xml:space="preserve">6. RULSurv 已执行结果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RULSurv 必须分成两个口径解释。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已生成证据：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docs/reproduction-evidence/rulsurv_rsf_port/rulsurv_rsf_port_summary.csv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docs/reproduction-evidence/rulsurv_rsf_port/rulsurv_rsf_port_metrics.csv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docs/reproduction-evidence/rulsurv_rsf_port/rulsurv_rsf_port_predictions.csv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docs/reproduction-evidence/rulsurv_rsf_port/rulsurv_rsf_port_config.json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关键结果：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97"/>
        <w:gridCol w:w="1863"/>
        <w:gridCol w:w="1863"/>
        <w:gridCol w:w="1397"/>
        <w:gridCol w:w="1397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协议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run_count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mean true MAE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original 25% censored row-level CV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6.926416 min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PROTOCOL_PASS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RULSurv-compatible 原协议近似复现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project Bearing1_3 held-out migration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14.307856 min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MIGRATION_PASS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本项目固定 split 迁移结果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必须保留的边界：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row-level CV 可能把同一 bearing 的不同时间点分到不同 fold，因此不能等同于 held-out bearing 泛化；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project held-out pass 依赖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project_holdout_survival_probability=0.25</w:t>
      </w:r>
      <w:r>
        <w:rPr>
          <w:rFonts w:ascii="宋体" w:hAnsi="宋体" w:eastAsia="宋体"/>
          <w:color w:val="000000"/>
        </w:rPr>
        <w:t xml:space="preserve">，即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survival_probability=0.25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的固定 conservative survival quantile 保守解码；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这说明 RULSurv RSF 有迁移潜力，但不能说成原始 RULSurv 自然泛化问题已经完全解决。</w:t>
      </w:r>
    </w:p>
    <w:bookmarkEnd w:id="27"/>
    <w:bookmarkStart w:id="28" w:name="external-sota-已执行证据"/>
    <w:p>
      <w:pPr>
        <w:pStyle w:val="Heading2"/>
      </w:pPr>
      <w:r>
        <w:rPr>
          <w:rFonts w:ascii="宋体" w:hAnsi="宋体" w:eastAsia="宋体"/>
          <w:color w:val="000000"/>
        </w:rPr>
        <w:t xml:space="preserve">7. external SOTA 已执行证据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外部 SOTA 没有本地重跑完成。当前完成的是 source pin、依赖 probe 和下一步复现路径。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已生成证据：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docs/reproduction-evidence/external_sota_attempts.csv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docs/reproduction-evidence/external_sota_attempts/autorul-pronostia-femto-rmse.txt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docs/reproduction-evidence/external_sota_attempts/gnn-benchmark-phm2012-fc-stgnn.txt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docs/reproduction-evidence/external_sota_attempts/weibull-kiml-femto-rmse.txt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route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当前状态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失败边界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AutoRUL / auto-sktime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source pin 成功，dependency probe 失败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当前环境缺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autosklearn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，尚未 materialize PRONOSTIA benchmark layout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GNN_RUL_Benchmarking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source pin 成功，dependency probe 失败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当前环境缺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torch_geometric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，尚未生成其 PHM2012 preprocessed split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Weibull KIML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source pin 成功，dependency probe 失败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当前环境缺 survival/deep-learning 依赖，尚未 stage FEMTO make workflow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答辩口径：</w:t>
      </w:r>
    </w:p>
    <w:p>
      <w:pPr>
        <w:pStyle w:val="BlockText"/>
      </w:pPr>
      <w:r>
        <w:rPr>
          <w:rFonts w:ascii="宋体" w:hAnsi="宋体" w:eastAsia="宋体"/>
          <w:color w:val="000000"/>
        </w:rPr>
        <w:t xml:space="preserve">外部 SOTA 已完成代码源锁定、依赖 probe 和可复现路径设计，但 AutoRUL / GNN / Weibull KIML 尚未在本地跑出指标，因此只能作为后续强基线目标，不能作为已完成本地复现结果。</w:t>
      </w:r>
    </w:p>
    <w:bookmarkEnd w:id="28"/>
    <w:bookmarkStart w:id="29" w:name="统一结果表"/>
    <w:p>
      <w:pPr>
        <w:pStyle w:val="Heading2"/>
      </w:pPr>
      <w:r>
        <w:rPr>
          <w:rFonts w:ascii="宋体" w:hAnsi="宋体" w:eastAsia="宋体"/>
          <w:color w:val="000000"/>
        </w:rPr>
        <w:t xml:space="preserve">8. 统一结果表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97"/>
        <w:gridCol w:w="1397"/>
        <w:gridCol w:w="1863"/>
        <w:gridCol w:w="1863"/>
        <w:gridCol w:w="1397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方法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 / split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run_count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mean normalized RMSE / MAE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manual 19 features + RandomForest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Bearing1_3 held-out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NRMSE 0.345365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传统 baseline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 Minimal selected features + RandomForest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Bearing1_3 held-out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NRMSE 0.315629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对手工 RF 有补充，但相关性整体偏弱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tsfresh Efficient selected features + RandomForest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Bearing1_3 held-out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NRMSE 0.318682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Efficient 配置已补充，未超过 Minimal selected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manual 19 + tsfresh Minimal selected + RandomForest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Bearing1_3 held-out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NRMSE 0.333545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融合输入已验证，提升有限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manual 19 + tsfresh Efficient selected + RandomForest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Bearing1_3 held-out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NRMSE 0.319927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融合输入已验证，仍不是核心突破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sktime RocketRegressor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Bearing1_3 held-out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NRMSE 0.263706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当前补充 baseline 中最好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sktime TimeSeriesForestRegressor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Bearing1_3 held-out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NRMSE 0.315919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与 tsfresh RF 接近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strict rerun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Bearing1_3 held-out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NRMSE 0.157007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 epoch 同配置重复证据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Feature-Transformer strict rerun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Bearing1_3 held-out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NRMSE 0.186688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 epoch 同配置重复证据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RULSurv RSF row-level CV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MAE 6.926416 min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PROTOCOL_PASS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RULSurv RSF held-out migration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Bearing1_3 held-out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MAE 14.307856 min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MIGRATION_PASS，依赖 0.25 保守解码</w:t>
            </w:r>
          </w:p>
        </w:tc>
      </w:tr>
    </w:tbl>
    <w:bookmarkEnd w:id="29"/>
    <w:bookmarkStart w:id="30" w:name="结题材料推荐话术"/>
    <w:p>
      <w:pPr>
        <w:pStyle w:val="Heading2"/>
      </w:pPr>
      <w:r>
        <w:rPr>
          <w:rFonts w:ascii="宋体" w:hAnsi="宋体" w:eastAsia="宋体"/>
          <w:color w:val="000000"/>
        </w:rPr>
        <w:t xml:space="preserve">9. 结题材料推荐话术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可以放入 PPT 的短版话术：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外部 SOTA：AutoRUL / GNN / Weibull KIML 已完成 source pin 和依赖 probe，但尚未在本地跑出指标，不能宣称这些路线已复现完成。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tsfresh：已完成 Minimal/Efficient train-only 特征筛选、held-out baseline 和 manual+tsfresh 融合输入验证，但本次特征相关性与 RF baseline 证据仍不足以支撑核心性能突破，只能作为自动特征分析旁证。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RULSurv：row-level 协议复现达到 target；held-out Bearing1_3 pass 依赖 survival_probability=0.25 的保守解码，是项目迁移策略，不能说成原始 RULSurv 自然泛化已经完全解决。</w:t>
      </w:r>
    </w:p>
    <w:bookmarkEnd w:id="30"/>
    <w:bookmarkStart w:id="31" w:name="后续工作"/>
    <w:p>
      <w:pPr>
        <w:pStyle w:val="Heading2"/>
      </w:pPr>
      <w:r>
        <w:rPr>
          <w:rFonts w:ascii="宋体" w:hAnsi="宋体" w:eastAsia="宋体"/>
          <w:color w:val="000000"/>
        </w:rPr>
        <w:t xml:space="preserve">10. 后续工作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 AutoRUL 建立独立环境或容器，重跑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femto_bearing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并输出真实本地指标。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 GNN_RUL_Benchmarking 生成其 PHM2012 preprocessing split，复跑 FC-STGNN。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 Weibull KIML stage FEMTO 数据和 make workflow，补齐可靠性先验路线指标。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扩展 RULSurv RSF port 到更多 XJTU 工况，验证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survival_probability=0.25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保守解码是否稳定。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 PHM2012 温度字段纳入特征融合实验，并扩展多 seed、多工况和更大样本规模。</w:t>
      </w:r>
    </w:p>
    <w:bookmarkEnd w:id="31"/>
    <w:bookmarkStart w:id="32" w:name="本轮完成定义"/>
    <w:p>
      <w:pPr>
        <w:pStyle w:val="Heading2"/>
      </w:pPr>
      <w:r>
        <w:rPr>
          <w:rFonts w:ascii="宋体" w:hAnsi="宋体" w:eastAsia="宋体"/>
          <w:color w:val="000000"/>
        </w:rPr>
        <w:t xml:space="preserve">11. 本轮完成定义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本轮完成标准是：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已把 tsfresh Minimal/Efficient、manual+tsfresh、sktime/RULSurv/external SOTA 的真实完成度同步进结题材料；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已删除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只做未来计划、不提交实验 CSV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的过期口径；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已将 taskbook 改成当前结果说明和后续工作清单；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已明确外部 SOTA 未重跑、tsfresh 相关性整体偏弱且不是核心性能突破、RULSurv held-out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survival_probability=0.25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保守解码迁移结果；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课程归档材料应以本文件、</w:t>
      </w:r>
      <w:r>
        <w:rPr>
          <w:rStyle w:val="VerbatimChar"/>
          <w:rFonts w:ascii="宋体" w:hAnsi="宋体" w:eastAsia="宋体"/>
          <w:color w:val="000000"/>
        </w:rPr>
        <w:t xml:space="preserve">docs/project-owner/08_指标驱动实验结果说明.md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docs/reproduction-evidence/README.md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的一致口径为准。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28_指标驱动RUL改进任务书</dc:title>
  <dc:creator>zyj、cyy、zdh、zy</dc:creator>
  <cp:keywords>RUL, 预测性维护, 工业轴承, 软件工程</cp:keywords>
  <dcterms:created xsi:type="dcterms:W3CDTF">2026-06-17T05:25:29Z</dcterms:created>
  <dcterms:modified xsi:type="dcterms:W3CDTF">2026-06-17T05:25:29Z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