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轴承寿命预测与故障诊断系统需求定义文档"/>
    <w:p>
      <w:pPr>
        <w:pStyle w:val="Heading1"/>
      </w:pPr>
      <w:r>
        <w:t xml:space="preserve">轴承寿命预测与故障诊断系统：需求定义文档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用户与场景"/>
    <w:p>
      <w:pPr>
        <w:pStyle w:val="Heading2"/>
      </w:pPr>
      <w:r>
        <w:t xml:space="preserve">用户与场景</w:t>
      </w:r>
    </w:p>
    <w:p>
      <w:pPr>
        <w:pStyle w:val="FirstParagraph"/>
      </w:pPr>
      <w:r>
        <w:t xml:space="preserve">本系统面向课程答辩、代码评审和论文复现实验三类使用场景。课程评审关注需求、设计、测试和交付完整性；开发成员关注数据路径、训练流程和结果复现；演示使用者关注 Notebook 中能否从真实数据得到图表和指标。</w:t>
      </w:r>
    </w:p>
    <w:bookmarkEnd w:id="21"/>
    <w:bookmarkStart w:id="22" w:name="总体需求"/>
    <w:p>
      <w:pPr>
        <w:pStyle w:val="Heading2"/>
      </w:pPr>
      <w:r>
        <w:t xml:space="preserve">总体需求</w:t>
      </w:r>
    </w:p>
    <w:p>
      <w:pPr>
        <w:numPr>
          <w:ilvl w:val="0"/>
          <w:numId w:val="1001"/>
        </w:numPr>
        <w:pStyle w:val="Compact"/>
      </w:pPr>
      <w:r>
        <w:t xml:space="preserve">系统应支持 PHM2012 和 XJTU-SY 两类轴承数据集加载。</w:t>
      </w:r>
    </w:p>
    <w:p>
      <w:pPr>
        <w:numPr>
          <w:ilvl w:val="0"/>
          <w:numId w:val="1001"/>
        </w:numPr>
        <w:pStyle w:val="Compact"/>
      </w:pPr>
      <w:r>
        <w:t xml:space="preserve">系统应提供可复用的信号处理与特征工程组件。</w:t>
      </w:r>
    </w:p>
    <w:p>
      <w:pPr>
        <w:numPr>
          <w:ilvl w:val="0"/>
          <w:numId w:val="1001"/>
        </w:numPr>
        <w:pStyle w:val="Compact"/>
      </w:pPr>
      <w:r>
        <w:t xml:space="preserve">系统应支持 RUL 回归和健康/故障分类两类任务。</w:t>
      </w:r>
    </w:p>
    <w:p>
      <w:pPr>
        <w:numPr>
          <w:ilvl w:val="0"/>
          <w:numId w:val="1001"/>
        </w:numPr>
        <w:pStyle w:val="Compact"/>
      </w:pPr>
      <w:r>
        <w:t xml:space="preserve">系统应通过统一 trainer/tester 输出训练记录、预测结果和指标。</w:t>
      </w:r>
    </w:p>
    <w:p>
      <w:pPr>
        <w:numPr>
          <w:ilvl w:val="0"/>
          <w:numId w:val="1001"/>
        </w:numPr>
        <w:pStyle w:val="Compact"/>
      </w:pPr>
      <w:r>
        <w:t xml:space="preserve">系统应提供 Notebook 形式的演示入口，不再依赖零散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demo。</w:t>
      </w:r>
    </w:p>
    <w:p>
      <w:pPr>
        <w:numPr>
          <w:ilvl w:val="0"/>
          <w:numId w:val="1001"/>
        </w:numPr>
        <w:pStyle w:val="Compact"/>
      </w:pPr>
      <w:r>
        <w:t xml:space="preserve">系统应输出课程所需文档和可视化证据。</w:t>
      </w:r>
    </w:p>
    <w:bookmarkEnd w:id="22"/>
    <w:bookmarkStart w:id="23" w:name="边界说明"/>
    <w:p>
      <w:pPr>
        <w:pStyle w:val="Heading2"/>
      </w:pPr>
      <w:r>
        <w:t xml:space="preserve">边界说明</w:t>
      </w:r>
    </w:p>
    <w:p>
      <w:pPr>
        <w:pStyle w:val="FirstParagraph"/>
      </w:pPr>
      <w:r>
        <w:t xml:space="preserve">本项目不接入实时采集硬件，不提供云服务和多用户权限系统，不承诺工业现场部署。所有实验结论均以公开数据集、本地配置和课程复现为边界。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2026-06-18T03:59:29Z</dcterms:created>
  <dcterms:modified xsi:type="dcterms:W3CDTF">2026-06-18T03:59:29Z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