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用户使用手册"/>
    <w:p>
      <w:pPr>
        <w:pStyle w:val="Heading1"/>
      </w:pPr>
      <w:r>
        <w:t xml:space="preserve">轴承寿命预测与故障诊断系统：用户使用手册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使用流程"/>
    <w:p>
      <w:pPr>
        <w:pStyle w:val="Heading2"/>
      </w:pPr>
      <w:r>
        <w:t xml:space="preserve">使用流程</w:t>
      </w:r>
    </w:p>
    <w:p>
      <w:pPr>
        <w:numPr>
          <w:ilvl w:val="0"/>
          <w:numId w:val="1001"/>
        </w:numPr>
        <w:pStyle w:val="Compact"/>
      </w:pPr>
      <w:r>
        <w:t xml:space="preserve">准备 Python 3.11 与 uv。</w:t>
      </w:r>
    </w:p>
    <w:p>
      <w:pPr>
        <w:numPr>
          <w:ilvl w:val="0"/>
          <w:numId w:val="1001"/>
        </w:numPr>
        <w:pStyle w:val="Compact"/>
      </w:pPr>
      <w:r>
        <w:t xml:space="preserve">在项目根目录执行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确认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能访问真实数据。</w:t>
      </w:r>
    </w:p>
    <w:p>
      <w:pPr>
        <w:numPr>
          <w:ilvl w:val="0"/>
          <w:numId w:val="1001"/>
        </w:numPr>
        <w:pStyle w:val="Compact"/>
      </w:pPr>
      <w:r>
        <w:t xml:space="preserve">启动 Jupyter 或 IDE，打开</w:t>
      </w:r>
      <w:r>
        <w:t xml:space="preserve"> </w:t>
      </w:r>
      <w:r>
        <w:rPr>
          <w:rStyle w:val="VerbatimChar"/>
        </w:rPr>
        <w:t xml:space="preserve">examples/3-papers</w:t>
      </w:r>
      <w:r>
        <w:t xml:space="preserve"> </w:t>
      </w:r>
      <w:r>
        <w:t xml:space="preserve">下的 Notebook。</w:t>
      </w:r>
    </w:p>
    <w:p>
      <w:pPr>
        <w:numPr>
          <w:ilvl w:val="0"/>
          <w:numId w:val="1001"/>
        </w:numPr>
        <w:pStyle w:val="Compact"/>
      </w:pPr>
      <w:r>
        <w:t xml:space="preserve">先运行 PHM2012 RUL 主线，再运行 XJTU-SY 故障诊断主线。</w:t>
      </w:r>
    </w:p>
    <w:p>
      <w:pPr>
        <w:numPr>
          <w:ilvl w:val="0"/>
          <w:numId w:val="1001"/>
        </w:numPr>
        <w:pStyle w:val="Compact"/>
      </w:pPr>
      <w:r>
        <w:t xml:space="preserve">查看 Notebook 输出的指标表、特征图、训练曲线和混淆矩阵。</w:t>
      </w:r>
    </w:p>
    <w:bookmarkEnd w:id="20"/>
    <w:bookmarkStart w:id="21" w:name="常用入口"/>
    <w:p>
      <w:pPr>
        <w:pStyle w:val="Heading2"/>
      </w:pPr>
      <w:r>
        <w:t xml:space="preserve">常用入口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examples/3-papers/PHM2012_RUL_CBAM_CNN_LSTM.ipynb</w:t>
            </w:r>
          </w:p>
        </w:tc>
        <w:tc>
          <w:p>
            <w:pPr>
              <w:pStyle w:val="Compact"/>
              <w:jc w:val="left"/>
            </w:pPr>
            <w:r>
              <w:t xml:space="preserve">PHM2012 RUL 论文主线复现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examples/3-papers/XJTU_Fault_CNN_LSTM.ipynb</w:t>
            </w:r>
          </w:p>
        </w:tc>
        <w:tc>
          <w:p>
            <w:pPr>
              <w:pStyle w:val="Compact"/>
              <w:jc w:val="left"/>
            </w:pPr>
            <w:r>
              <w:t xml:space="preserve">XJTU-SY 故障诊断论文主线复现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p>
            <w:pPr>
              <w:pStyle w:val="Compact"/>
              <w:jc w:val="left"/>
            </w:pPr>
            <w:r>
              <w:t xml:space="preserve">单元与集成测试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</w:t>
            </w:r>
          </w:p>
        </w:tc>
        <w:tc>
          <w:p>
            <w:pPr>
              <w:pStyle w:val="Compact"/>
              <w:jc w:val="left"/>
            </w:pPr>
            <w:r>
              <w:t xml:space="preserve">课程材料目录</w:t>
            </w:r>
          </w:p>
        </w:tc>
      </w:tr>
    </w:tbl>
    <w:bookmarkEnd w:id="21"/>
    <w:bookmarkStart w:id="22" w:name="输出解读"/>
    <w:p>
      <w:pPr>
        <w:pStyle w:val="Heading2"/>
      </w:pPr>
      <w:r>
        <w:t xml:space="preserve">输出解读</w:t>
      </w:r>
    </w:p>
    <w:p>
      <w:pPr>
        <w:pStyle w:val="FirstParagraph"/>
      </w:pPr>
      <w:r>
        <w:t xml:space="preserve">RUL 指标中 MSE、RMSE、MAE 越低越好，R2 越接近 1 越好。故障诊断指标中 accuracy 反映整体分类正确率，macro-F1 更关注类别均衡表现，混淆矩阵用于观察健康样本和故障样本是否互相误判。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2026-06-18T03:59:45Z</dcterms:created>
  <dcterms:modified xsi:type="dcterms:W3CDTF">2026-06-18T03:59:45Z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