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轴承寿命预测与故障诊断系统项目技术论文"/>
    <w:p>
      <w:pPr>
        <w:pStyle w:val="Heading1"/>
      </w:pPr>
      <w:r>
        <w:t xml:space="preserve">轴承寿命预测与故障诊断系统：项目技术论文</w:t>
      </w:r>
    </w:p>
    <w:tbl>
      <w:tblPr>
        <w:tblStyle w:val="Table"/>
        <w:tblW w:type="pct" w:w="0.0"/>
        <w:tblLook w:firstRow="1" w:lastRow="0" w:firstColumn="0" w:lastColumn="0" w:noHBand="0" w:noVBand="0" w:val="0020"/>
      </w:tblPr>
      <w:tblGrid/>
      <w:tr>
        <w:tc>
          <w:p>
            <w:pPr>
              <w:pStyle w:val="Compact"/>
              <w:jc w:val="left"/>
            </w:pPr>
            <w:r>
              <w:t xml:space="preserve">字段</w:t>
            </w:r>
          </w:p>
        </w:tc>
        <w:tc>
          <w:p>
            <w:pPr>
              <w:pStyle w:val="Compact"/>
              <w:jc w:val="left"/>
            </w:pPr>
            <w:r>
              <w:t xml:space="preserve">内容</w:t>
            </w:r>
          </w:p>
        </w:tc>
      </w:tr>
      <w:tr>
        <w:tc>
          <w:p>
            <w:pPr>
              <w:pStyle w:val="Compact"/>
              <w:jc w:val="left"/>
            </w:pPr>
            <w:r>
              <w:t xml:space="preserve">项目名称</w:t>
            </w:r>
          </w:p>
        </w:tc>
        <w:tc>
          <w:p>
            <w:pPr>
              <w:pStyle w:val="Compact"/>
              <w:jc w:val="left"/>
            </w:pPr>
            <w:r>
              <w:t xml:space="preserve">轴承寿命预测与故障诊断系统</w:t>
            </w:r>
          </w:p>
        </w:tc>
      </w:tr>
      <w:tr>
        <w:tc>
          <w:p>
            <w:pPr>
              <w:pStyle w:val="Compact"/>
              <w:jc w:val="left"/>
            </w:pPr>
            <w:r>
              <w:t xml:space="preserve">小组成员</w:t>
            </w:r>
          </w:p>
        </w:tc>
        <w:tc>
          <w:p>
            <w:pPr>
              <w:pStyle w:val="Compact"/>
              <w:jc w:val="left"/>
            </w:pPr>
            <w:r>
              <w:t xml:space="preserve">zyj、zdh、cyj、zy</w:t>
            </w:r>
          </w:p>
        </w:tc>
      </w:tr>
      <w:tr>
        <w:tc>
          <w:p>
            <w:pPr>
              <w:pStyle w:val="Compact"/>
              <w:jc w:val="left"/>
            </w:pPr>
            <w:r>
              <w:t xml:space="preserve">组长</w:t>
            </w:r>
          </w:p>
        </w:tc>
        <w:tc>
          <w:p>
            <w:pPr>
              <w:pStyle w:val="Compact"/>
              <w:jc w:val="left"/>
            </w:pPr>
            <w:r>
              <w:t xml:space="preserve">zyj</w:t>
            </w:r>
          </w:p>
        </w:tc>
      </w:tr>
      <w:tr>
        <w:tc>
          <w:p>
            <w:pPr>
              <w:pStyle w:val="Compact"/>
              <w:jc w:val="left"/>
            </w:pPr>
            <w:r>
              <w:t xml:space="preserve">文档版本</w:t>
            </w:r>
          </w:p>
        </w:tc>
        <w:tc>
          <w:p>
            <w:pPr>
              <w:pStyle w:val="Compact"/>
              <w:jc w:val="left"/>
            </w:pPr>
            <w:r>
              <w:t xml:space="preserve">v1.0</w:t>
            </w:r>
          </w:p>
        </w:tc>
      </w:tr>
      <w:tr>
        <w:tc>
          <w:p>
            <w:pPr>
              <w:pStyle w:val="Compact"/>
              <w:jc w:val="left"/>
            </w:pPr>
            <w:r>
              <w:t xml:space="preserve">日期</w:t>
            </w:r>
          </w:p>
        </w:tc>
        <w:tc>
          <w:p>
            <w:pPr>
              <w:pStyle w:val="Compact"/>
              <w:jc w:val="left"/>
            </w:pPr>
            <w:r>
              <w:t xml:space="preserve">2026年6月</w:t>
            </w:r>
          </w:p>
        </w:tc>
      </w:tr>
    </w:tbl>
    <w:bookmarkStart w:id="20" w:name="摘要"/>
    <w:p>
      <w:pPr>
        <w:pStyle w:val="Heading2"/>
      </w:pPr>
      <w:r>
        <w:t xml:space="preserve">摘要</w:t>
      </w:r>
    </w:p>
    <w:p>
      <w:pPr>
        <w:pStyle w:val="FirstParagraph"/>
      </w:pPr>
      <w:r>
        <w:t xml:space="preserve">本文设计并实现了一个面向课程实践的轴承寿命预测与故障诊断系统。系统以 PHM2012 和 XJTU-SY 为实验对象，建立统一的数据加载、特征工程、模型训练和评估输出流程。RUL 主线采用 Hann window、rFFT 频域输入与退化统计特征，复现 CBAM-CNN-LSTM 结构；故障诊断主线采用双通道时频特征与 ResCNN-LSTM 结构，实现健康/故障二分类。实验表明，系统能够在本地环境完成两条主线训练和可视化输出，满足课程工程实践对可运行、可测试、可复查的要求。</w:t>
      </w:r>
    </w:p>
    <w:bookmarkEnd w:id="20"/>
    <w:bookmarkStart w:id="21" w:name="方法"/>
    <w:p>
      <w:pPr>
        <w:pStyle w:val="Heading2"/>
      </w:pPr>
      <w:r>
        <w:t xml:space="preserve">方法</w:t>
      </w:r>
    </w:p>
    <w:p>
      <w:pPr>
        <w:pStyle w:val="FirstParagraph"/>
      </w:pPr>
      <w:r>
        <w:t xml:space="preserve">PHM2012 RUL 方法将每个振动快照转换为 256 维频域向量，并补充 20 维时域、频域和频带能量退化统计特征，按时间顺序组成 32 步序列。CBAM 模块对卷积特征进行注意力加权，LSTM 建模退化时间依赖，输出归一化 RUL。XJTU-SY 故障诊断方法将每个快照转换为 552 维特征，残差卷积块提取局部模式，LSTM 聚合窗口序列，分类头输出健康/故障概率。</w:t>
      </w:r>
    </w:p>
    <w:bookmarkEnd w:id="21"/>
    <w:bookmarkStart w:id="25" w:name="实验结果"/>
    <w:p>
      <w:pPr>
        <w:pStyle w:val="Heading2"/>
      </w:pPr>
      <w:r>
        <w:t xml:space="preserve">实验结果</w:t>
      </w:r>
    </w:p>
    <w:tbl>
      <w:tblPr>
        <w:tblStyle w:val="Table"/>
        <w:tblW w:type="pct" w:w="0.0"/>
        <w:tblLook w:firstRow="1" w:lastRow="0" w:firstColumn="0" w:lastColumn="0" w:noHBand="0" w:noVBand="0" w:val="0020"/>
      </w:tblPr>
      <w:tblGrid/>
      <w:tr>
        <w:tc>
          <w:p>
            <w:pPr>
              <w:pStyle w:val="Compact"/>
              <w:jc w:val="left"/>
            </w:pPr>
            <w:r>
              <w:t xml:space="preserve">任务</w:t>
            </w:r>
          </w:p>
        </w:tc>
        <w:tc>
          <w:p>
            <w:pPr>
              <w:pStyle w:val="Compact"/>
              <w:jc w:val="left"/>
            </w:pPr>
            <w:r>
              <w:t xml:space="preserve">主指标</w:t>
            </w:r>
          </w:p>
        </w:tc>
        <w:tc>
          <w:p>
            <w:pPr>
              <w:pStyle w:val="Compact"/>
              <w:jc w:val="left"/>
            </w:pPr>
            <w:r>
              <w:t xml:space="preserve">本地复现结果</w:t>
            </w:r>
          </w:p>
        </w:tc>
      </w:tr>
      <w:tr>
        <w:tc>
          <w:p>
            <w:pPr>
              <w:pStyle w:val="Compact"/>
              <w:jc w:val="left"/>
            </w:pPr>
            <w:r>
              <w:t xml:space="preserve">PHM2012 RUL</w:t>
            </w:r>
          </w:p>
        </w:tc>
        <w:tc>
          <w:p>
            <w:pPr>
              <w:pStyle w:val="Compact"/>
              <w:jc w:val="left"/>
            </w:pPr>
            <w:r>
              <w:t xml:space="preserve">Validation MSE</w:t>
            </w:r>
          </w:p>
        </w:tc>
        <w:tc>
          <w:p>
            <w:pPr>
              <w:pStyle w:val="Compact"/>
              <w:jc w:val="left"/>
            </w:pPr>
            <w:r>
              <w:t xml:space="preserve">0.002183</w:t>
            </w:r>
          </w:p>
        </w:tc>
      </w:tr>
      <w:tr>
        <w:tc>
          <w:p>
            <w:pPr>
              <w:pStyle w:val="Compact"/>
              <w:jc w:val="left"/>
            </w:pPr>
            <w:r>
              <w:t xml:space="preserve">PHM2012 RUL</w:t>
            </w:r>
          </w:p>
        </w:tc>
        <w:tc>
          <w:p>
            <w:pPr>
              <w:pStyle w:val="Compact"/>
              <w:jc w:val="left"/>
            </w:pPr>
            <w:r>
              <w:t xml:space="preserve">Test MSE</w:t>
            </w:r>
          </w:p>
        </w:tc>
        <w:tc>
          <w:p>
            <w:pPr>
              <w:pStyle w:val="Compact"/>
              <w:jc w:val="left"/>
            </w:pPr>
            <w:r>
              <w:t xml:space="preserve">0.040336</w:t>
            </w:r>
          </w:p>
        </w:tc>
      </w:tr>
      <w:tr>
        <w:tc>
          <w:p>
            <w:pPr>
              <w:pStyle w:val="Compact"/>
              <w:jc w:val="left"/>
            </w:pPr>
            <w:r>
              <w:t xml:space="preserve">PHM2012 RUL</w:t>
            </w:r>
          </w:p>
        </w:tc>
        <w:tc>
          <w:p>
            <w:pPr>
              <w:pStyle w:val="Compact"/>
              <w:jc w:val="left"/>
            </w:pPr>
            <w:r>
              <w:t xml:space="preserve">Test RMSE</w:t>
            </w:r>
          </w:p>
        </w:tc>
        <w:tc>
          <w:p>
            <w:pPr>
              <w:pStyle w:val="Compact"/>
              <w:jc w:val="left"/>
            </w:pPr>
            <w:r>
              <w:t xml:space="preserve">0.2008</w:t>
            </w:r>
          </w:p>
        </w:tc>
      </w:tr>
      <w:tr>
        <w:tc>
          <w:p>
            <w:pPr>
              <w:pStyle w:val="Compact"/>
              <w:jc w:val="left"/>
            </w:pPr>
            <w:r>
              <w:t xml:space="preserve">PHM2012 RUL</w:t>
            </w:r>
          </w:p>
        </w:tc>
        <w:tc>
          <w:p>
            <w:pPr>
              <w:pStyle w:val="Compact"/>
              <w:jc w:val="left"/>
            </w:pPr>
            <w:r>
              <w:t xml:space="preserve">Test MAE</w:t>
            </w:r>
          </w:p>
        </w:tc>
        <w:tc>
          <w:p>
            <w:pPr>
              <w:pStyle w:val="Compact"/>
              <w:jc w:val="left"/>
            </w:pPr>
            <w:r>
              <w:t xml:space="preserve">0.1550</w:t>
            </w:r>
          </w:p>
        </w:tc>
      </w:tr>
      <w:tr>
        <w:tc>
          <w:p>
            <w:pPr>
              <w:pStyle w:val="Compact"/>
              <w:jc w:val="left"/>
            </w:pPr>
            <w:r>
              <w:t xml:space="preserve">XJTU-SY 故障诊断</w:t>
            </w:r>
          </w:p>
        </w:tc>
        <w:tc>
          <w:p>
            <w:pPr>
              <w:pStyle w:val="Compact"/>
              <w:jc w:val="left"/>
            </w:pPr>
            <w:r>
              <w:t xml:space="preserve">Accuracy</w:t>
            </w:r>
          </w:p>
        </w:tc>
        <w:tc>
          <w:p>
            <w:pPr>
              <w:pStyle w:val="Compact"/>
              <w:jc w:val="left"/>
            </w:pPr>
            <w:r>
              <w:t xml:space="preserve">0.9963</w:t>
            </w:r>
          </w:p>
        </w:tc>
      </w:tr>
      <w:tr>
        <w:tc>
          <w:p>
            <w:pPr>
              <w:pStyle w:val="Compact"/>
              <w:jc w:val="left"/>
            </w:pPr>
            <w:r>
              <w:t xml:space="preserve">XJTU-SY 故障诊断</w:t>
            </w:r>
          </w:p>
        </w:tc>
        <w:tc>
          <w:p>
            <w:pPr>
              <w:pStyle w:val="Compact"/>
              <w:jc w:val="left"/>
            </w:pPr>
            <w:r>
              <w:t xml:space="preserve">Macro-F1</w:t>
            </w:r>
          </w:p>
        </w:tc>
        <w:tc>
          <w:p>
            <w:pPr>
              <w:pStyle w:val="Compact"/>
              <w:jc w:val="left"/>
            </w:pPr>
            <w:r>
              <w:t xml:space="preserve">0.9949</w:t>
            </w:r>
          </w:p>
        </w:tc>
      </w:tr>
    </w:tbl>
    <w:p>
      <w:pPr>
        <w:pStyle w:val="CaptionedFigure"/>
      </w:pPr>
      <w:r>
        <w:drawing>
          <wp:inline>
            <wp:extent cx="5334000" cy="2864237"/>
            <wp:effectExtent b="0" l="0" r="0" t="0"/>
            <wp:docPr descr="PHM2012 RUL 指标图" title="" id="1" name="Picture"/>
            <a:graphic>
              <a:graphicData uri="http://schemas.openxmlformats.org/drawingml/2006/picture">
                <pic:pic>
                  <pic:nvPicPr>
                    <pic:cNvPr descr="../img/phm2012_rul_metrics.png" id="0" name="Picture"/>
                    <pic:cNvPicPr>
                      <a:picLocks noChangeArrowheads="1" noChangeAspect="1"/>
                    </pic:cNvPicPr>
                  </pic:nvPicPr>
                  <pic:blipFill>
                    <a:blip r:embed="rId22"/>
                    <a:stretch>
                      <a:fillRect/>
                    </a:stretch>
                  </pic:blipFill>
                  <pic:spPr bwMode="auto">
                    <a:xfrm>
                      <a:off x="0" y="0"/>
                      <a:ext cx="5334000" cy="2864237"/>
                    </a:xfrm>
                    <a:prstGeom prst="rect">
                      <a:avLst/>
                    </a:prstGeom>
                    <a:noFill/>
                    <a:ln w="9525">
                      <a:noFill/>
                      <a:headEnd/>
                      <a:tailEnd/>
                    </a:ln>
                  </pic:spPr>
                </pic:pic>
              </a:graphicData>
            </a:graphic>
          </wp:inline>
        </w:drawing>
      </w:r>
    </w:p>
    <w:p>
      <w:pPr>
        <w:pStyle w:val="ImageCaption"/>
      </w:pPr>
      <w:r>
        <w:t xml:space="preserve">PHM2012 RUL 指标图</w:t>
      </w:r>
    </w:p>
    <w:p>
      <w:pPr>
        <w:pStyle w:val="CaptionedFigure"/>
      </w:pPr>
      <w:r>
        <w:drawing>
          <wp:inline>
            <wp:extent cx="5334000" cy="2799428"/>
            <wp:effectExtent b="0" l="0" r="0" t="0"/>
            <wp:docPr descr="训练/验证指标图" title="" id="1" name="Picture"/>
            <a:graphic>
              <a:graphicData uri="http://schemas.openxmlformats.org/drawingml/2006/picture">
                <pic:pic>
                  <pic:nvPicPr>
                    <pic:cNvPr descr="../img/training_validation.png" id="0" name="Picture"/>
                    <pic:cNvPicPr>
                      <a:picLocks noChangeArrowheads="1" noChangeAspect="1"/>
                    </pic:cNvPicPr>
                  </pic:nvPicPr>
                  <pic:blipFill>
                    <a:blip r:embed="rId23"/>
                    <a:stretch>
                      <a:fillRect/>
                    </a:stretch>
                  </pic:blipFill>
                  <pic:spPr bwMode="auto">
                    <a:xfrm>
                      <a:off x="0" y="0"/>
                      <a:ext cx="5334000" cy="2799428"/>
                    </a:xfrm>
                    <a:prstGeom prst="rect">
                      <a:avLst/>
                    </a:prstGeom>
                    <a:noFill/>
                    <a:ln w="9525">
                      <a:noFill/>
                      <a:headEnd/>
                      <a:tailEnd/>
                    </a:ln>
                  </pic:spPr>
                </pic:pic>
              </a:graphicData>
            </a:graphic>
          </wp:inline>
        </w:drawing>
      </w:r>
    </w:p>
    <w:p>
      <w:pPr>
        <w:pStyle w:val="ImageCaption"/>
      </w:pPr>
      <w:r>
        <w:t xml:space="preserve">训练/验证指标图</w:t>
      </w:r>
    </w:p>
    <w:p>
      <w:pPr>
        <w:pStyle w:val="CaptionedFigure"/>
      </w:pPr>
      <w:r>
        <w:drawing>
          <wp:inline>
            <wp:extent cx="5334000" cy="3969977"/>
            <wp:effectExtent b="0" l="0" r="0" t="0"/>
            <wp:docPr descr="XJTU-SY 混淆矩阵热力图" title="" id="1" name="Picture"/>
            <a:graphic>
              <a:graphicData uri="http://schemas.openxmlformats.org/drawingml/2006/picture">
                <pic:pic>
                  <pic:nvPicPr>
                    <pic:cNvPr descr="../img/xjtu_confusion_matrix.png" id="0" name="Picture"/>
                    <pic:cNvPicPr>
                      <a:picLocks noChangeArrowheads="1" noChangeAspect="1"/>
                    </pic:cNvPicPr>
                  </pic:nvPicPr>
                  <pic:blipFill>
                    <a:blip r:embed="rId24"/>
                    <a:stretch>
                      <a:fillRect/>
                    </a:stretch>
                  </pic:blipFill>
                  <pic:spPr bwMode="auto">
                    <a:xfrm>
                      <a:off x="0" y="0"/>
                      <a:ext cx="5334000" cy="3969977"/>
                    </a:xfrm>
                    <a:prstGeom prst="rect">
                      <a:avLst/>
                    </a:prstGeom>
                    <a:noFill/>
                    <a:ln w="9525">
                      <a:noFill/>
                      <a:headEnd/>
                      <a:tailEnd/>
                    </a:ln>
                  </pic:spPr>
                </pic:pic>
              </a:graphicData>
            </a:graphic>
          </wp:inline>
        </w:drawing>
      </w:r>
    </w:p>
    <w:p>
      <w:pPr>
        <w:pStyle w:val="ImageCaption"/>
      </w:pPr>
      <w:r>
        <w:t xml:space="preserve">XJTU-SY 混淆矩阵热力图</w:t>
      </w:r>
    </w:p>
    <w:bookmarkEnd w:id="25"/>
    <w:bookmarkStart w:id="26" w:name="讨论"/>
    <w:p>
      <w:pPr>
        <w:pStyle w:val="Heading2"/>
      </w:pPr>
      <w:r>
        <w:t xml:space="preserve">讨论</w:t>
      </w:r>
    </w:p>
    <w:p>
      <w:pPr>
        <w:pStyle w:val="FirstParagraph"/>
      </w:pPr>
      <w:r>
        <w:t xml:space="preserve">RUL 任务比故障诊断更敏感，受数据划分、退化标签、训练 epoch、标准化方式和随机种子影响较大。增强训练降低了整体测试误差，代表性轴承预测曲线能够跟随退化趋势，但部分测试轴承仍存在跨轴承泛化波动。故障诊断任务在二分类设置下较稳定，但若扩展到四类故障类型，还需要重新设计类别均衡和评价指标。</w:t>
      </w:r>
    </w:p>
    <w:bookmarkEnd w:id="26"/>
    <w:bookmarkStart w:id="27" w:name="参考文献"/>
    <w:p>
      <w:pPr>
        <w:pStyle w:val="Heading2"/>
      </w:pPr>
      <w:r>
        <w:t xml:space="preserve">参考文献</w:t>
      </w:r>
    </w:p>
    <w:p>
      <w:pPr>
        <w:numPr>
          <w:ilvl w:val="0"/>
          <w:numId w:val="1001"/>
        </w:numPr>
        <w:pStyle w:val="Compact"/>
      </w:pPr>
      <w:r>
        <w:t xml:space="preserve">Sun B., Hu W., Wang H., Wang L., Deng C. Remaining Useful Life Prediction of Rolling Bearings Based on CBAM-CNN-LSTM. 2025.</w:t>
      </w:r>
    </w:p>
    <w:p>
      <w:pPr>
        <w:numPr>
          <w:ilvl w:val="0"/>
          <w:numId w:val="1001"/>
        </w:numPr>
        <w:pStyle w:val="Compact"/>
      </w:pPr>
      <w:r>
        <w:t xml:space="preserve">Qiao X., Liow H. Y., Jauw V. L., Lim C. S. A Comparative Study on Deep Learning Methods for Fault Diagnosis and Prognosis of Rolling Element Bearings. 2025.</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2026-06-18T03:59:48Z</dcterms:created>
  <dcterms:modified xsi:type="dcterms:W3CDTF">2026-06-18T03:59:48Z</dcterms:modified>
</cp:coreProperties>
</file>

<file path=docProps/custom.xml><?xml version="1.0" encoding="utf-8"?>
<Properties xmlns="http://schemas.openxmlformats.org/officeDocument/2006/custom-properties" xmlns:vt="http://schemas.openxmlformats.org/officeDocument/2006/docPropsVTypes"/>
</file>