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单元测试报告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工业轴承设备剩余寿命预测系统的实现：单元测试报告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单元测试执行记录、覆盖范围和结论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黑体" w:hAnsi="黑体" w:eastAsia="黑体"/>
        </w:rPr>
        <w:t xml:space="preserve">1. 测试目标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单元测试用于验证各模块在独立状态下的正确性，重点覆盖数据加载、特征提取、标签构造、评价指标、模型 forward、预测模式和示例 notebook 的基本可执行性。</w:t>
      </w:r>
    </w:p>
    <w:bookmarkEnd w:id="22"/>
    <w:bookmarkStart w:id="23" w:name="测试环境"/>
    <w:p>
      <w:pPr>
        <w:pStyle w:val="Heading2"/>
      </w:pPr>
      <w:r>
        <w:rPr>
          <w:rFonts w:ascii="黑体" w:hAnsi="黑体" w:eastAsia="黑体"/>
        </w:rPr>
        <w:t xml:space="preserve">2.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numpy、pandas、scikit-learn、torch、lifelines、matplotlib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 fixture、合成 demo 数据和小规模临时目录，不依赖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data/external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大文件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pytest 临时目录、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tmp/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outputs/</w:t>
            </w:r>
            <w:r>
              <w:rPr>
                <w:rFonts w:ascii="宋体" w:hAnsi="宋体" w:eastAsia="宋体"/>
                <w:sz w:val="19"/>
              </w:rPr>
              <w:t xml:space="preserve">，均不作为源代码提交</w:t>
            </w:r>
          </w:p>
        </w:tc>
      </w:tr>
    </w:tbl>
    <w:bookmarkEnd w:id="23"/>
    <w:bookmarkStart w:id="24" w:name="测试范围"/>
    <w:p>
      <w:pPr>
        <w:pStyle w:val="Heading2"/>
      </w:pPr>
      <w:r>
        <w:rPr>
          <w:rFonts w:ascii="黑体" w:hAnsi="黑体" w:eastAsia="黑体"/>
        </w:rPr>
        <w:t xml:space="preserve">3. 测试范围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测试文件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覆盖内容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数据序列化、XJTU-SY loader、PHM2012 loader、读前抽样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指标、Huang Score、NormalizedRMSE、方向性指标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 模型结构、特征序列、attention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xLSTM-Transformer 模型、论文划分 workflow、notebook 入口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tests/test_prediction_modes.py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直接预测、滚动预测、不确定性预测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tests/test_stage_and_visualization.py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退化阶段划分和可视化输出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训练器、回调、实验记录和输出文件</w:t>
            </w:r>
          </w:p>
        </w:tc>
      </w:tr>
    </w:tbl>
    <w:bookmarkEnd w:id="24"/>
    <w:bookmarkStart w:id="25" w:name="关键测试用例"/>
    <w:p>
      <w:pPr>
        <w:pStyle w:val="Heading2"/>
      </w:pPr>
      <w:r>
        <w:rPr>
          <w:rFonts w:ascii="黑体" w:hAnsi="黑体" w:eastAsia="黑体"/>
        </w:rPr>
        <w:t xml:space="preserve">4. 关键测试用例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CSV 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返回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BearingEntity</w:t>
            </w:r>
            <w:r>
              <w:rPr>
                <w:rFonts w:ascii="宋体" w:hAnsi="宋体" w:eastAsia="宋体"/>
                <w:sz w:val="19"/>
              </w:rPr>
              <w:t xml:space="preserve">，包含水平/垂直振动通道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加速度与温度文件对齐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保留温度通道和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temperature_file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HuangRulScore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手算数组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输出与论文分段公式一致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NormalizedRMSE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零 range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不产生 NaN 或 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CNNLSTMAttention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输出预测和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XLSTMTransformer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输出预测和多头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直接执行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examples/*.ipynb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代码单元均可执行</w:t>
            </w:r>
          </w:p>
        </w:tc>
      </w:tr>
    </w:tbl>
    <w:bookmarkEnd w:id="25"/>
    <w:bookmarkStart w:id="27" w:name="执行命令"/>
    <w:p>
      <w:pPr>
        <w:pStyle w:val="Heading2"/>
      </w:pPr>
      <w:r>
        <w:rPr>
          <w:rFonts w:ascii="黑体" w:hAnsi="黑体" w:eastAsia="黑体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tests/test_data_io_and_loaders.py tests/test_rul_metrics.py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tests/test_paper_cnn_lstm_attention.py tests/test_paper_xlstm_transformer.py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</w:pPr>
      <w:r>
        <w:rPr>
          <w:rFonts w:ascii="宋体" w:hAnsi="宋体" w:eastAsia="宋体"/>
        </w:rPr>
        <w:t xml:space="preserve">结题阶段集中执行命令：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</w:t>
      </w:r>
      <w:r>
        <w:rPr>
          <w:rStyle w:val="AttributeTok"/>
          <w:rFonts w:ascii="宋体" w:hAnsi="宋体" w:eastAsia="宋体"/>
        </w:rPr>
        <w:t xml:space="preserve">-q</w:t>
      </w:r>
    </w:p>
    <w:bookmarkStart w:id="26" w:name="单元测试执行证据说明"/>
    <w:p>
      <w:pPr>
        <w:pStyle w:val="Heading3"/>
      </w:pPr>
      <w:r>
        <w:rPr>
          <w:rFonts w:ascii="黑体" w:hAnsi="黑体" w:eastAsia="黑体"/>
        </w:rPr>
        <w:t xml:space="preserve">5.1 单元测试执行证据说明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单元测试不是只统计通过数量，而是覆盖项目中最容易出错的局部行为：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类别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主要风险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目录结构差异导致字段缺失或顺序错误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 测试检查实体、通道、元数据和抽样加载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方向反了或窗口边界错误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labeler 测试检查目标值、窗口长度和样本数量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Score 公式、归一化或方向性指标口径错误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指标测试使用确定性小数组和完美预测样例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forward 输出维度与 trainer 不匹配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CNN-LSTM-AM、xLSTM-Transformer forward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示例只存在但不能执行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smoke test 逐个运行代码单元</w:t>
            </w:r>
          </w:p>
        </w:tc>
      </w:tr>
    </w:tbl>
    <w:bookmarkEnd w:id="26"/>
    <w:bookmarkEnd w:id="27"/>
    <w:bookmarkStart w:id="28" w:name="原始输出摘录"/>
    <w:p>
      <w:pPr>
        <w:pStyle w:val="Heading2"/>
      </w:pPr>
      <w:r>
        <w:rPr>
          <w:rFonts w:ascii="黑体" w:hAnsi="黑体" w:eastAsia="黑体"/>
        </w:rPr>
        <w:t xml:space="preserve">6. 原始输出摘录</w:t>
      </w:r>
    </w:p>
    <w:p>
      <w:pPr>
        <w:pStyle w:val="FirstParagraph"/>
      </w:pPr>
      <w:r>
        <w:rPr>
          <w:rFonts w:ascii="宋体" w:hAnsi="宋体" w:eastAsia="宋体"/>
        </w:rPr>
        <w:t xml:space="preserve">focused 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           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20 passed in 6.40s</w:t>
      </w:r>
    </w:p>
    <w:p>
      <w:pPr>
        <w:pStyle w:val="FirstParagraph"/>
      </w:pPr>
      <w:r>
        <w:rPr>
          <w:rFonts w:ascii="宋体" w:hAnsi="宋体" w:eastAsia="宋体"/>
        </w:rPr>
        <w:t xml:space="preserve">全量测试输出摘录：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$ uv run --extra dev pytest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...............................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31 passed in 8.45s</w:t>
      </w:r>
    </w:p>
    <w:p>
      <w:pPr>
        <w:pStyle w:val="FirstParagraph"/>
      </w:pPr>
      <w:r>
        <w:rPr>
          <w:rFonts w:ascii="宋体" w:hAnsi="宋体" w:eastAsia="宋体"/>
        </w:rPr>
        <w:t xml:space="preserve">若后续提交导致耗时变化，以重新执行命令的终端输出为准；通过数量应保持一致或随新增测试同步增加。</w:t>
      </w:r>
    </w:p>
    <w:bookmarkEnd w:id="28"/>
    <w:bookmarkStart w:id="29" w:name="测试结论"/>
    <w:p>
      <w:pPr>
        <w:pStyle w:val="Heading2"/>
      </w:pPr>
      <w:r>
        <w:rPr>
          <w:rFonts w:ascii="黑体" w:hAnsi="黑体" w:eastAsia="黑体"/>
        </w:rPr>
        <w:t xml:space="preserve">7. 测试结论</w:t>
      </w:r>
    </w:p>
    <w:p>
      <w:pPr>
        <w:pStyle w:val="FirstParagraph"/>
      </w:pPr>
      <w:r>
        <w:rPr>
          <w:rFonts w:ascii="宋体" w:hAnsi="宋体" w:eastAsia="宋体"/>
        </w:rPr>
        <w:t xml:space="preserve">2026-06-14 结题验收执行结果：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focused 测试：</w:t>
      </w:r>
      <w:r>
        <w:rPr>
          <w:rStyle w:val="VerbatimChar"/>
          <w:rFonts w:ascii="宋体" w:hAnsi="宋体" w:eastAsia="宋体"/>
        </w:rPr>
        <w:t xml:space="preserve">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</w:rPr>
        <w:t xml:space="preserve">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20 passed in 6.40s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全量测试：</w:t>
      </w:r>
      <w:r>
        <w:rPr>
          <w:rStyle w:val="VerbatimChar"/>
          <w:rFonts w:ascii="宋体" w:hAnsi="宋体" w:eastAsia="宋体"/>
        </w:rPr>
        <w:t xml:space="preserve">uv run --extra dev pytest -q</w:t>
      </w:r>
      <w:r>
        <w:rPr>
          <w:rFonts w:ascii="宋体" w:hAnsi="宋体" w:eastAsia="宋体"/>
        </w:rPr>
        <w:t xml:space="preserve">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31 passed in 8.45s</w:t>
      </w:r>
      <w:r>
        <w:rPr>
          <w:rFonts w:ascii="宋体" w:hAnsi="宋体" w:eastAsia="宋体"/>
        </w:rPr>
        <w:t xml:space="preserve">。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单元测试覆盖了系统关键基础模块，能够及时发现 loader、labeler、metric 和模型接口层面的回归问题。结题阶段测试通过标准为：所有单元测试执行成功，且 notebook smoke test 能完成训练类示例的最小 epoch 运行。</w:t>
      </w:r>
    </w:p>
    <w:bookmarkEnd w:id="29"/>
    <w:bookmarkEnd w:id="30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13_单元测试报告</dc:title>
  <dc:creator>zyj、cyy、zdh、zy</dc:creator>
  <cp:keywords>RUL, 预测性维护, 工业轴承, 软件工程</cp:keywords>
  <dcterms:created xsi:type="dcterms:W3CDTF">2026-06-14T11:04:11Z</dcterms:created>
  <dcterms:modified xsi:type="dcterms:W3CDTF">2026-06-14T11:04:11Z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