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用户使用手册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工业轴承设备剩余寿命预测系统的实现：用户使用手册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用户使用手册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运行流程、notebook、API、输出文件和注意事项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对象"/>
    <w:p>
      <w:pPr>
        <w:pStyle w:val="Heading2"/>
      </w:pPr>
      <w:r>
        <w:rPr>
          <w:rFonts w:ascii="黑体" w:hAnsi="黑体" w:eastAsia="黑体"/>
        </w:rPr>
        <w:t xml:space="preserve">1. 适用对象</w:t>
      </w:r>
    </w:p>
    <w:p>
      <w:pPr>
        <w:pStyle w:val="FirstParagraph"/>
      </w:pPr>
      <w:r>
        <w:rPr>
          <w:rFonts w:ascii="宋体" w:hAnsi="宋体" w:eastAsia="宋体"/>
        </w:rPr>
        <w:t xml:space="preserve">本文档面向课程答辩人员、实验使用者和后续维护者，说明如何运行系统、执行示例、复现论文实验和查看输出结果。</w:t>
      </w:r>
    </w:p>
    <w:bookmarkEnd w:id="22"/>
    <w:bookmarkStart w:id="23" w:name="基本使用流程"/>
    <w:p>
      <w:pPr>
        <w:pStyle w:val="Heading2"/>
      </w:pPr>
      <w:r>
        <w:rPr>
          <w:rFonts w:ascii="黑体" w:hAnsi="黑体" w:eastAsia="黑体"/>
        </w:rPr>
        <w:t xml:space="preserve">2. 基本使用流程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安装环境 -&gt; 准备数据 -&gt; 选择 notebook 或 API -&gt; 训练模型 -&gt; 查看指标和结果文件</w:t>
      </w:r>
    </w:p>
    <w:bookmarkEnd w:id="23"/>
    <w:bookmarkStart w:id="24" w:name="运行-notebook-示例"/>
    <w:p>
      <w:pPr>
        <w:pStyle w:val="Heading2"/>
      </w:pPr>
      <w:r>
        <w:rPr>
          <w:rFonts w:ascii="黑体" w:hAnsi="黑体" w:eastAsia="黑体"/>
        </w:rPr>
        <w:t xml:space="preserve">3. 运行 notebook 示例</w:t>
      </w:r>
    </w:p>
    <w:p>
      <w:pPr>
        <w:pStyle w:val="FirstParagraph"/>
      </w:pPr>
      <w:r>
        <w:rPr>
          <w:rFonts w:ascii="宋体" w:hAnsi="宋体" w:eastAsia="宋体"/>
        </w:rPr>
        <w:t xml:space="preserve">项目所有示例均位于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examples/</w:t>
      </w:r>
      <w:r>
        <w:rPr>
          <w:rFonts w:ascii="宋体" w:hAnsi="宋体" w:eastAsia="宋体"/>
        </w:rPr>
        <w:t xml:space="preserve">，且均为 notebook：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00_generate_demo_datasets.ipynb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生成 XJTU-SY 和 PHM2012 demo 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01_xjtu_loader_overview.ipynb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查看 XJTU-SY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02_phm2012_loader_overview.ipynb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查看 PHM2012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03_xjtu_cnn_rul_training.ipynb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使用 CNN 训练 XJTU-SY RUL 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04_phm2012_mlp_feature_training.ipynb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使用 MLP 训练 PHM2012 特征示例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05_cross_dataset_feature_export.ipynb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导出两个数据集的特征表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06_paper_cnn_lstm_attention_rul.ipynb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 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07_paper_xlstm_transformer_rul.ipynb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xLSTM-Transformer 论文复现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运行方式：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jupyter lab</w:t>
      </w:r>
    </w:p>
    <w:p>
      <w:pPr>
        <w:pStyle w:val="FirstParagraph"/>
      </w:pPr>
      <w:r>
        <w:rPr>
          <w:rFonts w:ascii="宋体" w:hAnsi="宋体" w:eastAsia="宋体"/>
        </w:rPr>
        <w:t xml:space="preserve">如未安装 Jupyter，也可通过 pytest 执行 notebook 中的代码单元：</w:t>
      </w:r>
    </w:p>
    <w:p>
      <w:pPr>
        <w:pStyle w:val="SourceCode"/>
      </w:pP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1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tests/test_examples_notebooks.py </w:t>
      </w:r>
      <w:r>
        <w:rPr>
          <w:rStyle w:val="AttributeTok"/>
          <w:rFonts w:ascii="宋体" w:hAnsi="宋体" w:eastAsia="宋体"/>
        </w:rPr>
        <w:t xml:space="preserve">-q</w:t>
      </w:r>
    </w:p>
    <w:bookmarkEnd w:id="24"/>
    <w:bookmarkStart w:id="25" w:name="使用-python-api"/>
    <w:p>
      <w:pPr>
        <w:pStyle w:val="Heading2"/>
      </w:pPr>
      <w:r>
        <w:rPr>
          <w:rFonts w:ascii="黑体" w:hAnsi="黑体" w:eastAsia="黑体"/>
        </w:rPr>
        <w:t xml:space="preserve">4. 使用 Python API</w:t>
      </w:r>
    </w:p>
    <w:p>
      <w:pPr>
        <w:pStyle w:val="SourceCode"/>
      </w:pPr>
      <w:r>
        <w:rPr>
          <w:rStyle w:val="ImportTok"/>
          <w:rFonts w:ascii="宋体" w:hAnsi="宋体" w:eastAsia="宋体"/>
        </w:rPr>
        <w:t xml:space="preserve">from</w:t>
      </w:r>
      <w:r>
        <w:rPr>
          <w:rStyle w:val="NormalTok"/>
          <w:rFonts w:ascii="宋体" w:hAnsi="宋体" w:eastAsia="宋体"/>
        </w:rPr>
        <w:t xml:space="preserve"> USTC.SSE.BearingPrediction.api </w:t>
      </w:r>
      <w:r>
        <w:rPr>
          <w:rStyle w:val="ImportTok"/>
          <w:rFonts w:ascii="宋体" w:hAnsi="宋体" w:eastAsia="宋体"/>
        </w:rPr>
        <w:t xml:space="preserve">import</w:t>
      </w:r>
      <w:r>
        <w:rPr>
          <w:rStyle w:val="NormalTok"/>
          <w:rFonts w:ascii="宋体" w:hAnsi="宋体" w:eastAsia="宋体"/>
        </w:rPr>
        <w:t xml:space="preserve"> (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XJTULoader,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BearingRulLabeler,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CNN,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BaseTrainer,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BaseTester,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Evaluator,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RMSE,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NormalizedRMSE,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HuangRulScore,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loader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XJTULoader(</w:t>
      </w:r>
      <w:r>
        <w:rPr>
          <w:rStyle w:val="StringTok"/>
          <w:rFonts w:ascii="宋体" w:hAnsi="宋体" w:eastAsia="宋体"/>
        </w:rPr>
        <w:t xml:space="preserve">"data/external/xjtu/extracted/XJTU-SY_Bearing_Datasets"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bearing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loader.load_entity(</w:t>
      </w:r>
      <w:r>
        <w:rPr>
          <w:rStyle w:val="StringTok"/>
          <w:rFonts w:ascii="宋体" w:hAnsi="宋体" w:eastAsia="宋体"/>
        </w:rPr>
        <w:t xml:space="preserve">"Bearing1_1"</w:t>
      </w:r>
      <w:r>
        <w:rPr>
          <w:rStyle w:val="NormalTok"/>
          <w:rFonts w:ascii="宋体" w:hAnsi="宋体" w:eastAsia="宋体"/>
        </w:rPr>
        <w:t xml:space="preserve">, max_samples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48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dataset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BearingRulLabeler(window_size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1024</w:t>
      </w:r>
      <w:r>
        <w:rPr>
          <w:rStyle w:val="NormalTok"/>
          <w:rFonts w:ascii="宋体" w:hAnsi="宋体" w:eastAsia="宋体"/>
        </w:rPr>
        <w:t xml:space="preserve">, stride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1024</w:t>
      </w:r>
      <w:r>
        <w:rPr>
          <w:rStyle w:val="NormalTok"/>
          <w:rFonts w:ascii="宋体" w:hAnsi="宋体" w:eastAsia="宋体"/>
        </w:rPr>
        <w:t xml:space="preserve">).label(bearing, </w:t>
      </w:r>
      <w:r>
        <w:rPr>
          <w:rStyle w:val="StringTok"/>
          <w:rFonts w:ascii="宋体" w:hAnsi="宋体" w:eastAsia="宋体"/>
        </w:rPr>
        <w:t xml:space="preserve">"Horizontal Vibration"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train_set, test_set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dataset.split_by_ratio(</w:t>
      </w:r>
      <w:r>
        <w:rPr>
          <w:rStyle w:val="FloatTok"/>
          <w:rFonts w:ascii="宋体" w:hAnsi="宋体" w:eastAsia="宋体"/>
        </w:rPr>
        <w:t xml:space="preserve">0.75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model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CNN(input_size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1024</w:t>
      </w:r>
      <w:r>
        <w:rPr>
          <w:rStyle w:val="NormalTok"/>
          <w:rFonts w:ascii="宋体" w:hAnsi="宋体" w:eastAsia="宋体"/>
        </w:rPr>
        <w:t xml:space="preserve">, output_size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1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trainer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BaseTrainer(max_epochs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8</w:t>
      </w:r>
      <w:r>
        <w:rPr>
          <w:rStyle w:val="NormalTok"/>
          <w:rFonts w:ascii="宋体" w:hAnsi="宋体" w:eastAsia="宋体"/>
        </w:rPr>
        <w:t xml:space="preserve">, batch_size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4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trainer.train(model, train_set, test_set)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result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BaseTester(batch_size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4</w:t>
      </w:r>
      <w:r>
        <w:rPr>
          <w:rStyle w:val="NormalTok"/>
          <w:rFonts w:ascii="宋体" w:hAnsi="宋体" w:eastAsia="宋体"/>
        </w:rPr>
        <w:t xml:space="preserve">).test(model, test_set)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metrics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Evaluator().add(RMSE(), NormalizedRMSE(), HuangRulScore()).evaluate(result.targets, result.predictions)</w:t>
      </w:r>
      <w:r>
        <w:rPr>
          <w:rFonts w:ascii="宋体" w:hAnsi="宋体" w:eastAsia="宋体"/>
        </w:rPr>
        <w:br/>
      </w:r>
      <w:r>
        <w:rPr>
          <w:rStyle w:val="BuiltInTok"/>
          <w:rFonts w:ascii="宋体" w:hAnsi="宋体" w:eastAsia="宋体"/>
        </w:rPr>
        <w:t xml:space="preserve">print</w:t>
      </w:r>
      <w:r>
        <w:rPr>
          <w:rStyle w:val="NormalTok"/>
          <w:rFonts w:ascii="宋体" w:hAnsi="宋体" w:eastAsia="宋体"/>
        </w:rPr>
        <w:t xml:space="preserve">(metrics)</w:t>
      </w:r>
    </w:p>
    <w:bookmarkEnd w:id="25"/>
    <w:bookmarkStart w:id="27" w:name="查看输出"/>
    <w:p>
      <w:pPr>
        <w:pStyle w:val="Heading2"/>
      </w:pPr>
      <w:r>
        <w:rPr>
          <w:rFonts w:ascii="黑体" w:hAnsi="黑体" w:eastAsia="黑体"/>
        </w:rPr>
        <w:t xml:space="preserve">5. 查看输出</w:t>
      </w:r>
    </w:p>
    <w:p>
      <w:pPr>
        <w:pStyle w:val="FirstParagraph"/>
      </w:pPr>
      <w:r>
        <w:rPr>
          <w:rFonts w:ascii="宋体" w:hAnsi="宋体" w:eastAsia="宋体"/>
        </w:rPr>
        <w:t xml:space="preserve">默认输出位于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outputs/examples/</w:t>
      </w:r>
      <w:r>
        <w:rPr>
          <w:rFonts w:ascii="宋体" w:hAnsi="宋体" w:eastAsia="宋体"/>
        </w:rPr>
        <w:t xml:space="preserve">。真实验收建议使用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隔离：</w:t>
      </w:r>
    </w:p>
    <w:p>
      <w:pPr>
        <w:pStyle w:val="SourceCode"/>
      </w:pPr>
      <w:r>
        <w:rPr>
          <w:rStyle w:val="VariableTok"/>
          <w:rFonts w:ascii="宋体" w:hAnsi="宋体" w:eastAsia="宋体"/>
        </w:rPr>
        <w:t xml:space="preserve">BEARING_EXAMPLE_OUTPUT_ROOT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tmp/my_run </w:t>
      </w: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8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my_script.py</w:t>
      </w:r>
    </w:p>
    <w:bookmarkStart w:id="26" w:name="常见输出文件说明"/>
    <w:p>
      <w:pPr>
        <w:pStyle w:val="Heading3"/>
      </w:pPr>
      <w:r>
        <w:rPr>
          <w:rFonts w:ascii="黑体" w:hAnsi="黑体" w:eastAsia="黑体"/>
        </w:rPr>
        <w:t xml:space="preserve">5.1 常见输出文件说明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文件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含义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建议查看方式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每个 epoch 的训练/验证损失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检查训练是否真实执行、是否出现异常震荡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单次评估指标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查看 RMSE、MAE、R2、Score 等摘要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每个样本的真实 RUL 和预测 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绘制预测曲线或误差分布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论文复现模型对比结果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比较 baseline 与改进模型的指标变化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特征导出 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每个快照或窗口的特征值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分析 RMS、峭度、谱能量等趋势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初学者建议先运行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00_generate_demo_datasets.ipynb</w:t>
      </w:r>
      <w:r>
        <w:rPr>
          <w:rFonts w:ascii="宋体" w:hAnsi="宋体" w:eastAsia="宋体"/>
        </w:rPr>
        <w:t xml:space="preserve">，再运行两个 loader overview notebook，确认数据结构后再进入训练 notebook。</w:t>
      </w:r>
    </w:p>
    <w:bookmarkEnd w:id="26"/>
    <w:bookmarkEnd w:id="27"/>
    <w:bookmarkStart w:id="28" w:name="注意事项"/>
    <w:p>
      <w:pPr>
        <w:pStyle w:val="Heading2"/>
      </w:pPr>
      <w:r>
        <w:rPr>
          <w:rFonts w:ascii="黑体" w:hAnsi="黑体" w:eastAsia="黑体"/>
        </w:rPr>
        <w:t xml:space="preserve">6. 注意事项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outputs/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data/external/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不应提交到仓库。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notebook 默认以小样本保证可运行；论文级完整数值复现需要更大样本、更长 epoch 和多随机种子。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本项目主线是 RUL 预测和预测性维护，不以离散故障识别作为结题重点。</w:t>
      </w:r>
    </w:p>
    <w:bookmarkEnd w:id="28"/>
    <w:bookmarkEnd w:id="29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16_用户使用手册</dc:title>
  <dc:creator>zyj、cyy、zdh、zy</dc:creator>
  <cp:keywords>RUL, 预测性维护, 工业轴承, 软件工程</cp:keywords>
  <dcterms:created xsi:type="dcterms:W3CDTF">2026-06-14T11:04:28Z</dcterms:created>
  <dcterms:modified xsi:type="dcterms:W3CDTF">2026-06-14T11:04:28Z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