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成员贡献比说明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工业轴承设备剩余寿命预测系统的实现：成员贡献比说明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成员贡献比说明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SE-PHM-FINAL-19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成员职责、贡献比例、交叉评审和确认说明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贡献比例汇总"/>
    <w:p>
      <w:pPr>
        <w:pStyle w:val="Heading2"/>
      </w:pPr>
      <w:r>
        <w:rPr>
          <w:rFonts w:ascii="黑体" w:hAnsi="黑体" w:eastAsia="黑体"/>
        </w:rPr>
        <w:t xml:space="preserve">1. 贡献比例汇总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成员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贡献比例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主要贡献依据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35%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项目负责人、系统架构、训练框架、RUL 模型、论文复现和最终集成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数据处理、数据集 loader、特征工程、数据文档和数据测试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退化分析、失效概率/生存分析基础接口、评价指标、确认测试计划和确认测试报告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可视化、用户手册、安装配置、答辩提纲、讲稿和展示材料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贡献比例根据项目计划、代码模块、文档产物、测试内容和最终集成工作综合评估。zyj 作为项目负责人承担额外集成与复现工作，因此比例略高；其他成员围绕数据、评价测试和展示文档分别承担主责。</w:t>
      </w:r>
    </w:p>
    <w:bookmarkEnd w:id="22"/>
    <w:bookmarkStart w:id="27" w:name="分工说明"/>
    <w:p>
      <w:pPr>
        <w:pStyle w:val="Heading2"/>
      </w:pPr>
      <w:r>
        <w:rPr>
          <w:rFonts w:ascii="黑体" w:hAnsi="黑体" w:eastAsia="黑体"/>
        </w:rPr>
        <w:t xml:space="preserve">2. 分工说明</w:t>
      </w:r>
    </w:p>
    <w:bookmarkStart w:id="23" w:name="zyj"/>
    <w:p>
      <w:pPr>
        <w:pStyle w:val="Heading3"/>
      </w:pPr>
      <w:r>
        <w:rPr>
          <w:rFonts w:ascii="黑体" w:hAnsi="黑体" w:eastAsia="黑体"/>
        </w:rPr>
        <w:t xml:space="preserve">zyj</w:t>
      </w:r>
    </w:p>
    <w:p>
      <w:pPr>
        <w:pStyle w:val="FirstParagraph"/>
      </w:pPr>
      <w:r>
        <w:rPr>
          <w:rFonts w:ascii="宋体" w:hAnsi="宋体" w:eastAsia="宋体"/>
        </w:rPr>
        <w:t xml:space="preserve">负责项目整体架构、主命名空间设计、训练与测试框架、RUL 深度学习模型、CNN-LSTM-AM 和 xLSTM-Transformer 论文复现，以及最终代码集成和验收。</w:t>
      </w:r>
    </w:p>
    <w:bookmarkEnd w:id="23"/>
    <w:bookmarkStart w:id="24" w:name="cyy"/>
    <w:p>
      <w:pPr>
        <w:pStyle w:val="Heading3"/>
      </w:pPr>
      <w:r>
        <w:rPr>
          <w:rFonts w:ascii="黑体" w:hAnsi="黑体" w:eastAsia="黑体"/>
        </w:rPr>
        <w:t xml:space="preserve">cyy</w:t>
      </w:r>
    </w:p>
    <w:p>
      <w:pPr>
        <w:pStyle w:val="FirstParagraph"/>
      </w:pPr>
      <w:r>
        <w:rPr>
          <w:rFonts w:ascii="宋体" w:hAnsi="宋体" w:eastAsia="宋体"/>
        </w:rPr>
        <w:t xml:space="preserve">负责 XJTU-SY、PHM2012/FEMTO 数据解析，统一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BearingEntity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BearingWindowDataset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数据结构，补充数据集说明文档和真实数据接入测试。</w:t>
      </w:r>
    </w:p>
    <w:bookmarkEnd w:id="24"/>
    <w:bookmarkStart w:id="25" w:name="zdh"/>
    <w:p>
      <w:pPr>
        <w:pStyle w:val="Heading3"/>
      </w:pPr>
      <w:r>
        <w:rPr>
          <w:rFonts w:ascii="黑体" w:hAnsi="黑体" w:eastAsia="黑体"/>
        </w:rPr>
        <w:t xml:space="preserve">zdh</w:t>
      </w:r>
    </w:p>
    <w:p>
      <w:pPr>
        <w:pStyle w:val="FirstParagraph"/>
      </w:pPr>
      <w:r>
        <w:rPr>
          <w:rFonts w:ascii="宋体" w:hAnsi="宋体" w:eastAsia="宋体"/>
        </w:rPr>
        <w:t xml:space="preserve">负责退化阶段划分、失效概率/生存分析基础接口、评价指标体系、确认测试计划和确认测试报告，重点保障指标口径和验收标准的一致性。本轮结题验收中，RUL 指标和确认测试是主要交付依据，生存分析作为预测性维护扩展方向保留接口。</w:t>
      </w:r>
    </w:p>
    <w:bookmarkEnd w:id="25"/>
    <w:bookmarkStart w:id="26" w:name="zy"/>
    <w:p>
      <w:pPr>
        <w:pStyle w:val="Heading3"/>
      </w:pPr>
      <w:r>
        <w:rPr>
          <w:rFonts w:ascii="黑体" w:hAnsi="黑体" w:eastAsia="黑体"/>
        </w:rPr>
        <w:t xml:space="preserve">zy</w:t>
      </w:r>
    </w:p>
    <w:p>
      <w:pPr>
        <w:pStyle w:val="FirstParagraph"/>
      </w:pPr>
      <w:r>
        <w:rPr>
          <w:rFonts w:ascii="宋体" w:hAnsi="宋体" w:eastAsia="宋体"/>
        </w:rPr>
        <w:t xml:space="preserve">负责可视化模块、用户手册、PPT 材料、图表展示和答辩叙事整理，重点保障系统成果能被清晰展示。</w:t>
      </w:r>
    </w:p>
    <w:bookmarkEnd w:id="26"/>
    <w:bookmarkEnd w:id="27"/>
    <w:bookmarkStart w:id="28" w:name="交付物对应关系"/>
    <w:p>
      <w:pPr>
        <w:pStyle w:val="Heading2"/>
      </w:pPr>
      <w:r>
        <w:rPr>
          <w:rFonts w:ascii="黑体" w:hAnsi="黑体" w:eastAsia="黑体"/>
        </w:rPr>
        <w:t xml:space="preserve">3. 交付物对应关系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成员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主要交付物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交叉评审责任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系统架构、训练框架、RUL 模型、论文复现 workflow、结题集成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审核模型接口、实验指标和最终文档一致性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XJTU-SY/PHM2012 loader、数据说明、特征工程、数据相关测试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审核数据语义、目录说明和特征分析表述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失效概率/生存分析基础接口、评价指标、确认测试计划与报告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审核指标口径、验收标准和风险边界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可视化、用户手册、安装配置、答辩提纲和讲稿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审核图表可读性、使用说明和汇报语气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贡献比例不是按代码行数简单计算，而是综合设计、实现、测试、文档、联调和答辩准备工作量确定。</w:t>
      </w:r>
    </w:p>
    <w:bookmarkEnd w:id="28"/>
    <w:bookmarkStart w:id="29" w:name="客观依据说明"/>
    <w:p>
      <w:pPr>
        <w:pStyle w:val="Heading2"/>
      </w:pPr>
      <w:r>
        <w:rPr>
          <w:rFonts w:ascii="黑体" w:hAnsi="黑体" w:eastAsia="黑体"/>
        </w:rPr>
        <w:t xml:space="preserve">4. 客观依据说明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依据类别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对应内容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用于判断的贡献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代码模块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dataset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feature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labeling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models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training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evaluation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visualization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反映成员负责的实现范围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自动化测试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loader 测试、RUL 指标测试、训练 pipeline 测试、论文复现测试、notebook 执行测试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反映功能是否被验证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examples/06_*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examples/07_*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和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docs/PAPER_REPRODUCTION.md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反映模型、指标和实验记录工作量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课程文档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开题、中期、结题、测试报告、用户手册、安装手册、技术论文、答辩材料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反映软件工程交付完整性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最终集成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文档导出脚本、PPT/讲稿、确认测试报告、交付清单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反映结题阶段收口工作</w:t>
            </w:r>
          </w:p>
        </w:tc>
      </w:tr>
    </w:tbl>
    <w:bookmarkEnd w:id="29"/>
    <w:bookmarkStart w:id="30" w:name="贡献确认"/>
    <w:p>
      <w:pPr>
        <w:pStyle w:val="Heading2"/>
      </w:pPr>
      <w:r>
        <w:rPr>
          <w:rFonts w:ascii="黑体" w:hAnsi="黑体" w:eastAsia="黑体"/>
        </w:rPr>
        <w:t xml:space="preserve">5. 贡献确认</w:t>
      </w:r>
    </w:p>
    <w:p>
      <w:pPr>
        <w:pStyle w:val="FirstParagraph"/>
      </w:pPr>
      <w:r>
        <w:rPr>
          <w:rFonts w:ascii="宋体" w:hAnsi="宋体" w:eastAsia="宋体"/>
        </w:rPr>
        <w:t xml:space="preserve">本贡献比例根据项目计划、代码模块、文档产物、测试内容和最终集成工作综合评估。各成员均参与需求理解、阶段评审和最终材料整理。</w:t>
      </w:r>
    </w:p>
    <w:bookmarkEnd w:id="30"/>
    <w:bookmarkEnd w:id="31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19_成员贡献比说明</dc:title>
  <dc:creator>zyj、cyy、zdh、zy</dc:creator>
  <cp:keywords>RUL, 预测性维护, 工业轴承, 软件工程</cp:keywords>
  <dcterms:created xsi:type="dcterms:W3CDTF">2026-06-14T11:04:46Z</dcterms:created>
  <dcterms:modified xsi:type="dcterms:W3CDTF">2026-06-14T11:04:46Z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