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工业轴承设备剩余寿命预测系统的实现集成测试计划文档"/>
    <w:p>
      <w:pPr>
        <w:pStyle w:val="Heading1"/>
        <w:jc w:val="center"/>
      </w:pPr>
      <w:r>
        <w:rPr>
          <w:rFonts w:ascii="黑体" w:hAnsi="黑体" w:eastAsia="黑体"/>
          <w:b/>
          <w:sz w:val="40"/>
        </w:rPr>
        <w:t xml:space="preserve">工业轴承设备剩余寿命预测系统的实现：集成测试计划文档</w:t>
      </w:r>
    </w:p>
    <w:bookmarkStart w:id="20" w:name="文档信息"/>
    <w:p>
      <w:pPr>
        <w:pStyle w:val="Heading2"/>
      </w:pPr>
      <w:r>
        <w:rPr>
          <w:rFonts w:ascii="黑体" w:hAnsi="黑体" w:eastAsia="黑体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集成测试计划文档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SE-PHM-MID-08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中期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zyj、cyy、zdh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跨模块集成链路、联调策略和通过准则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黑体" w:hAnsi="黑体" w:eastAsia="黑体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版本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日期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编写人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测试目标"/>
    <w:p>
      <w:pPr>
        <w:pStyle w:val="Heading2"/>
      </w:pPr>
      <w:r>
        <w:rPr>
          <w:rFonts w:ascii="黑体" w:hAnsi="黑体" w:eastAsia="黑体"/>
        </w:rPr>
        <w:t xml:space="preserve">1. 测试目标</w:t>
      </w:r>
    </w:p>
    <w:p>
      <w:pPr>
        <w:pStyle w:val="FirstParagraph"/>
      </w:pPr>
      <w:r>
        <w:rPr>
          <w:rFonts w:ascii="宋体" w:hAnsi="宋体" w:eastAsia="宋体"/>
        </w:rPr>
        <w:t xml:space="preserve">集成测试的目标是验证模块之间的协作是否正确，而不是单独验证某个函数。对于本项目，关键在于确认数据导入、预处理、标签构造、训练、评估和可视化能够按预期串联。</w:t>
      </w:r>
    </w:p>
    <w:bookmarkEnd w:id="22"/>
    <w:bookmarkStart w:id="23" w:name="集成范围"/>
    <w:p>
      <w:pPr>
        <w:pStyle w:val="Heading2"/>
      </w:pPr>
      <w:r>
        <w:rPr>
          <w:rFonts w:ascii="黑体" w:hAnsi="黑体" w:eastAsia="黑体"/>
        </w:rPr>
        <w:t xml:space="preserve">2. 集成范围</w:t>
      </w:r>
    </w:p>
    <w:p>
      <w:pPr>
        <w:pStyle w:val="FirstParagraph"/>
      </w:pPr>
      <w:r>
        <w:rPr>
          <w:rFonts w:ascii="宋体" w:hAnsi="宋体" w:eastAsia="宋体"/>
        </w:rPr>
        <w:t xml:space="preserve">集成测试覆盖以下跨模块流程：</w:t>
      </w:r>
    </w:p>
    <w:p>
      <w:pPr>
        <w:numPr>
          <w:ilvl w:val="0"/>
          <w:numId w:val="1001"/>
        </w:numPr>
        <w:pStyle w:val="Compact"/>
      </w:pPr>
      <w:r>
        <w:rPr>
          <w:rFonts w:ascii="宋体" w:hAnsi="宋体" w:eastAsia="宋体"/>
        </w:rPr>
        <w:t xml:space="preserve">数据集加载到标签构造流程。</w:t>
      </w:r>
    </w:p>
    <w:p>
      <w:pPr>
        <w:numPr>
          <w:ilvl w:val="0"/>
          <w:numId w:val="1001"/>
        </w:numPr>
        <w:pStyle w:val="Compact"/>
      </w:pPr>
      <w:r>
        <w:rPr>
          <w:rFonts w:ascii="宋体" w:hAnsi="宋体" w:eastAsia="宋体"/>
        </w:rPr>
        <w:t xml:space="preserve">标签构造到模型训练流程。</w:t>
      </w:r>
    </w:p>
    <w:p>
      <w:pPr>
        <w:numPr>
          <w:ilvl w:val="0"/>
          <w:numId w:val="1001"/>
        </w:numPr>
        <w:pStyle w:val="Compact"/>
      </w:pPr>
      <w:r>
        <w:rPr>
          <w:rFonts w:ascii="宋体" w:hAnsi="宋体" w:eastAsia="宋体"/>
        </w:rPr>
        <w:t xml:space="preserve">训练到评估与结果导出流程。</w:t>
      </w:r>
    </w:p>
    <w:p>
      <w:pPr>
        <w:numPr>
          <w:ilvl w:val="0"/>
          <w:numId w:val="1001"/>
        </w:numPr>
        <w:pStyle w:val="Compact"/>
      </w:pPr>
      <w:r>
        <w:rPr>
          <w:rFonts w:ascii="宋体" w:hAnsi="宋体" w:eastAsia="宋体"/>
        </w:rPr>
        <w:t xml:space="preserve">评估到可视化展示流程。</w:t>
      </w:r>
    </w:p>
    <w:bookmarkEnd w:id="23"/>
    <w:bookmarkStart w:id="24" w:name="模块集成关系说明"/>
    <w:p>
      <w:pPr>
        <w:pStyle w:val="Heading2"/>
      </w:pPr>
      <w:r>
        <w:rPr>
          <w:rFonts w:ascii="黑体" w:hAnsi="黑体" w:eastAsia="黑体"/>
        </w:rPr>
        <w:t xml:space="preserve">3. 模块集成关系说明</w:t>
      </w:r>
    </w:p>
    <w:p>
      <w:pPr>
        <w:pStyle w:val="SourceCode"/>
      </w:pPr>
      <w:r>
        <w:rPr>
          <w:rStyle w:val="VerbatimChar"/>
          <w:rFonts w:ascii="宋体" w:hAnsi="宋体" w:eastAsia="宋体"/>
        </w:rPr>
        <w:t xml:space="preserve">Loader</w:t>
      </w:r>
      <w:r>
        <w:rPr>
          <w:rFonts w:ascii="宋体" w:hAnsi="宋体" w:eastAsia="宋体"/>
        </w:rPr>
        <w:br/>
      </w:r>
      <w:r>
        <w:rPr>
          <w:rStyle w:val="VerbatimChar"/>
          <w:rFonts w:ascii="宋体" w:hAnsi="宋体" w:eastAsia="宋体"/>
        </w:rPr>
        <w:t xml:space="preserve">  ↓</w:t>
      </w:r>
      <w:r>
        <w:rPr>
          <w:rFonts w:ascii="宋体" w:hAnsi="宋体" w:eastAsia="宋体"/>
        </w:rPr>
        <w:br/>
      </w:r>
      <w:r>
        <w:rPr>
          <w:rStyle w:val="VerbatimChar"/>
          <w:rFonts w:ascii="宋体" w:hAnsi="宋体" w:eastAsia="宋体"/>
        </w:rPr>
        <w:t xml:space="preserve">Entity / Dataset</w:t>
      </w:r>
      <w:r>
        <w:rPr>
          <w:rFonts w:ascii="宋体" w:hAnsi="宋体" w:eastAsia="宋体"/>
        </w:rPr>
        <w:br/>
      </w:r>
      <w:r>
        <w:rPr>
          <w:rStyle w:val="VerbatimChar"/>
          <w:rFonts w:ascii="宋体" w:hAnsi="宋体" w:eastAsia="宋体"/>
        </w:rPr>
        <w:t xml:space="preserve">  ↓</w:t>
      </w:r>
      <w:r>
        <w:rPr>
          <w:rFonts w:ascii="宋体" w:hAnsi="宋体" w:eastAsia="宋体"/>
        </w:rPr>
        <w:br/>
      </w:r>
      <w:r>
        <w:rPr>
          <w:rStyle w:val="VerbatimChar"/>
          <w:rFonts w:ascii="宋体" w:hAnsi="宋体" w:eastAsia="宋体"/>
        </w:rPr>
        <w:t xml:space="preserve">Preprocess / Feature</w:t>
      </w:r>
      <w:r>
        <w:rPr>
          <w:rFonts w:ascii="宋体" w:hAnsi="宋体" w:eastAsia="宋体"/>
        </w:rPr>
        <w:br/>
      </w:r>
      <w:r>
        <w:rPr>
          <w:rStyle w:val="VerbatimChar"/>
          <w:rFonts w:ascii="宋体" w:hAnsi="宋体" w:eastAsia="宋体"/>
        </w:rPr>
        <w:t xml:space="preserve">  ↓</w:t>
      </w:r>
      <w:r>
        <w:rPr>
          <w:rFonts w:ascii="宋体" w:hAnsi="宋体" w:eastAsia="宋体"/>
        </w:rPr>
        <w:br/>
      </w:r>
      <w:r>
        <w:rPr>
          <w:rStyle w:val="VerbatimChar"/>
          <w:rFonts w:ascii="宋体" w:hAnsi="宋体" w:eastAsia="宋体"/>
        </w:rPr>
        <w:t xml:space="preserve">Labeler</w:t>
      </w:r>
      <w:r>
        <w:rPr>
          <w:rFonts w:ascii="宋体" w:hAnsi="宋体" w:eastAsia="宋体"/>
        </w:rPr>
        <w:br/>
      </w:r>
      <w:r>
        <w:rPr>
          <w:rStyle w:val="VerbatimChar"/>
          <w:rFonts w:ascii="宋体" w:hAnsi="宋体" w:eastAsia="宋体"/>
        </w:rPr>
        <w:t xml:space="preserve">  ↓</w:t>
      </w:r>
      <w:r>
        <w:rPr>
          <w:rFonts w:ascii="宋体" w:hAnsi="宋体" w:eastAsia="宋体"/>
        </w:rPr>
        <w:br/>
      </w:r>
      <w:r>
        <w:rPr>
          <w:rStyle w:val="VerbatimChar"/>
          <w:rFonts w:ascii="宋体" w:hAnsi="宋体" w:eastAsia="宋体"/>
        </w:rPr>
        <w:t xml:space="preserve">Trainer / Model / Callback</w:t>
      </w:r>
      <w:r>
        <w:rPr>
          <w:rFonts w:ascii="宋体" w:hAnsi="宋体" w:eastAsia="宋体"/>
        </w:rPr>
        <w:br/>
      </w:r>
      <w:r>
        <w:rPr>
          <w:rStyle w:val="VerbatimChar"/>
          <w:rFonts w:ascii="宋体" w:hAnsi="宋体" w:eastAsia="宋体"/>
        </w:rPr>
        <w:t xml:space="preserve">  ↓</w:t>
      </w:r>
      <w:r>
        <w:rPr>
          <w:rFonts w:ascii="宋体" w:hAnsi="宋体" w:eastAsia="宋体"/>
        </w:rPr>
        <w:br/>
      </w:r>
      <w:r>
        <w:rPr>
          <w:rStyle w:val="VerbatimChar"/>
          <w:rFonts w:ascii="宋体" w:hAnsi="宋体" w:eastAsia="宋体"/>
        </w:rPr>
        <w:t xml:space="preserve">Tester / Predictor</w:t>
      </w:r>
      <w:r>
        <w:rPr>
          <w:rFonts w:ascii="宋体" w:hAnsi="宋体" w:eastAsia="宋体"/>
        </w:rPr>
        <w:br/>
      </w:r>
      <w:r>
        <w:rPr>
          <w:rStyle w:val="VerbatimChar"/>
          <w:rFonts w:ascii="宋体" w:hAnsi="宋体" w:eastAsia="宋体"/>
        </w:rPr>
        <w:t xml:space="preserve">  ↓</w:t>
      </w:r>
      <w:r>
        <w:rPr>
          <w:rFonts w:ascii="宋体" w:hAnsi="宋体" w:eastAsia="宋体"/>
        </w:rPr>
        <w:br/>
      </w:r>
      <w:r>
        <w:rPr>
          <w:rStyle w:val="VerbatimChar"/>
          <w:rFonts w:ascii="宋体" w:hAnsi="宋体" w:eastAsia="宋体"/>
        </w:rPr>
        <w:t xml:space="preserve">Evaluator / Visualizer / Serializer</w:t>
      </w:r>
    </w:p>
    <w:p>
      <w:pPr>
        <w:pStyle w:val="FirstParagraph"/>
      </w:pPr>
      <w:r>
        <w:rPr>
          <w:rFonts w:ascii="宋体" w:hAnsi="宋体" w:eastAsia="宋体"/>
        </w:rPr>
        <w:t xml:space="preserve">模块关系的核心在于输入输出对象必须统一，任何一个环节的字段或形状变化都可能导致后续流程失效。</w:t>
      </w:r>
    </w:p>
    <w:bookmarkEnd w:id="24"/>
    <w:bookmarkStart w:id="25" w:name="集成测试环境"/>
    <w:p>
      <w:pPr>
        <w:pStyle w:val="Heading2"/>
      </w:pPr>
      <w:r>
        <w:rPr>
          <w:rFonts w:ascii="黑体" w:hAnsi="黑体" w:eastAsia="黑体"/>
        </w:rPr>
        <w:t xml:space="preserve">4. 集成测试环境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要求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Python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3.11+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环境管理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uv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数据来源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合成数据 + 真实数据小样本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工具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pytest、TensorBoard、Pandoc（文档链路验证）</w:t>
            </w:r>
          </w:p>
        </w:tc>
      </w:tr>
    </w:tbl>
    <w:bookmarkEnd w:id="25"/>
    <w:bookmarkStart w:id="26" w:name="集成测试策略"/>
    <w:p>
      <w:pPr>
        <w:pStyle w:val="Heading2"/>
      </w:pPr>
      <w:r>
        <w:rPr>
          <w:rFonts w:ascii="黑体" w:hAnsi="黑体" w:eastAsia="黑体"/>
        </w:rPr>
        <w:t xml:space="preserve">5. 集成测试策略</w:t>
      </w:r>
    </w:p>
    <w:p>
      <w:pPr>
        <w:pStyle w:val="FirstParagraph"/>
      </w:pPr>
      <w:r>
        <w:rPr>
          <w:rFonts w:ascii="宋体" w:hAnsi="宋体" w:eastAsia="宋体"/>
        </w:rPr>
        <w:t xml:space="preserve">项目采用增量集成策略：</w:t>
      </w:r>
    </w:p>
    <w:p>
      <w:pPr>
        <w:numPr>
          <w:ilvl w:val="0"/>
          <w:numId w:val="1002"/>
        </w:numPr>
        <w:pStyle w:val="Compact"/>
      </w:pPr>
      <w:r>
        <w:rPr>
          <w:rFonts w:ascii="宋体" w:hAnsi="宋体" w:eastAsia="宋体"/>
        </w:rPr>
        <w:t xml:space="preserve">先集成数据主线：loader、entity、preprocess、labeler。</w:t>
      </w:r>
    </w:p>
    <w:p>
      <w:pPr>
        <w:numPr>
          <w:ilvl w:val="0"/>
          <w:numId w:val="1002"/>
        </w:numPr>
        <w:pStyle w:val="Compact"/>
      </w:pPr>
      <w:r>
        <w:rPr>
          <w:rFonts w:ascii="宋体" w:hAnsi="宋体" w:eastAsia="宋体"/>
        </w:rPr>
        <w:t xml:space="preserve">再集成训练主线：model、trainer、callback、tester。</w:t>
      </w:r>
    </w:p>
    <w:p>
      <w:pPr>
        <w:numPr>
          <w:ilvl w:val="0"/>
          <w:numId w:val="1002"/>
        </w:numPr>
        <w:pStyle w:val="Compact"/>
      </w:pPr>
      <w:r>
        <w:rPr>
          <w:rFonts w:ascii="宋体" w:hAnsi="宋体" w:eastAsia="宋体"/>
        </w:rPr>
        <w:t xml:space="preserve">最后集成结果主线：evaluator、visualizer、serializer。</w:t>
      </w:r>
    </w:p>
    <w:p>
      <w:pPr>
        <w:pStyle w:val="FirstParagraph"/>
      </w:pPr>
      <w:r>
        <w:rPr>
          <w:rFonts w:ascii="宋体" w:hAnsi="宋体" w:eastAsia="宋体"/>
        </w:rPr>
        <w:t xml:space="preserve">这种策略便于快速定位问题来源，避免一次性接太多模块导致排错困难。</w:t>
      </w:r>
    </w:p>
    <w:bookmarkEnd w:id="26"/>
    <w:bookmarkStart w:id="30" w:name="核心业务流程测试"/>
    <w:p>
      <w:pPr>
        <w:pStyle w:val="Heading2"/>
      </w:pPr>
      <w:r>
        <w:rPr>
          <w:rFonts w:ascii="黑体" w:hAnsi="黑体" w:eastAsia="黑体"/>
        </w:rPr>
        <w:t xml:space="preserve">6. 核心业务流程测试</w:t>
      </w:r>
    </w:p>
    <w:bookmarkStart w:id="27" w:name="rul-回归流程"/>
    <w:p>
      <w:pPr>
        <w:pStyle w:val="Heading3"/>
      </w:pPr>
      <w:r>
        <w:rPr>
          <w:rFonts w:ascii="黑体" w:hAnsi="黑体" w:eastAsia="黑体"/>
        </w:rPr>
        <w:t xml:space="preserve">6.1 RUL 回归流程</w:t>
      </w:r>
    </w:p>
    <w:p>
      <w:pPr>
        <w:numPr>
          <w:ilvl w:val="0"/>
          <w:numId w:val="1003"/>
        </w:numPr>
        <w:pStyle w:val="Compact"/>
      </w:pPr>
      <w:r>
        <w:rPr>
          <w:rFonts w:ascii="宋体" w:hAnsi="宋体" w:eastAsia="宋体"/>
        </w:rPr>
        <w:t xml:space="preserve">加载真实或合成轴承数据。</w:t>
      </w:r>
    </w:p>
    <w:p>
      <w:pPr>
        <w:numPr>
          <w:ilvl w:val="0"/>
          <w:numId w:val="1003"/>
        </w:numPr>
        <w:pStyle w:val="Compact"/>
      </w:pPr>
      <w:r>
        <w:rPr>
          <w:rFonts w:ascii="宋体" w:hAnsi="宋体" w:eastAsia="宋体"/>
        </w:rPr>
        <w:t xml:space="preserve">构造 RUL 数据集。</w:t>
      </w:r>
    </w:p>
    <w:p>
      <w:pPr>
        <w:numPr>
          <w:ilvl w:val="0"/>
          <w:numId w:val="1003"/>
        </w:numPr>
        <w:pStyle w:val="Compact"/>
      </w:pPr>
      <w:r>
        <w:rPr>
          <w:rFonts w:ascii="宋体" w:hAnsi="宋体" w:eastAsia="宋体"/>
        </w:rPr>
        <w:t xml:space="preserve">训练 CNN 或 RNN 模型。</w:t>
      </w:r>
    </w:p>
    <w:p>
      <w:pPr>
        <w:numPr>
          <w:ilvl w:val="0"/>
          <w:numId w:val="1003"/>
        </w:numPr>
        <w:pStyle w:val="Compact"/>
      </w:pPr>
      <w:r>
        <w:rPr>
          <w:rFonts w:ascii="宋体" w:hAnsi="宋体" w:eastAsia="宋体"/>
        </w:rPr>
        <w:t xml:space="preserve">运行测试与评估。</w:t>
      </w:r>
    </w:p>
    <w:p>
      <w:pPr>
        <w:numPr>
          <w:ilvl w:val="0"/>
          <w:numId w:val="1003"/>
        </w:numPr>
        <w:pStyle w:val="Compact"/>
      </w:pPr>
      <w:r>
        <w:rPr>
          <w:rFonts w:ascii="宋体" w:hAnsi="宋体" w:eastAsia="宋体"/>
        </w:rPr>
        <w:t xml:space="preserve">导出预测曲线和结果文件。</w:t>
      </w:r>
    </w:p>
    <w:bookmarkEnd w:id="27"/>
    <w:bookmarkStart w:id="28" w:name="退化阶段标注与可视化流程"/>
    <w:p>
      <w:pPr>
        <w:pStyle w:val="Heading3"/>
      </w:pPr>
      <w:r>
        <w:rPr>
          <w:rFonts w:ascii="黑体" w:hAnsi="黑体" w:eastAsia="黑体"/>
        </w:rPr>
        <w:t xml:space="preserve">6.2 退化阶段标注与可视化流程</w:t>
      </w:r>
    </w:p>
    <w:p>
      <w:pPr>
        <w:numPr>
          <w:ilvl w:val="0"/>
          <w:numId w:val="1004"/>
        </w:numPr>
        <w:pStyle w:val="Compact"/>
      </w:pPr>
      <w:r>
        <w:rPr>
          <w:rFonts w:ascii="宋体" w:hAnsi="宋体" w:eastAsia="宋体"/>
        </w:rPr>
        <w:t xml:space="preserve">加载轴承数据。</w:t>
      </w:r>
    </w:p>
    <w:p>
      <w:pPr>
        <w:numPr>
          <w:ilvl w:val="0"/>
          <w:numId w:val="1004"/>
        </w:numPr>
        <w:pStyle w:val="Compact"/>
      </w:pPr>
      <w:r>
        <w:rPr>
          <w:rFonts w:ascii="宋体" w:hAnsi="宋体" w:eastAsia="宋体"/>
        </w:rPr>
        <w:t xml:space="preserve">使用 3sigma 或 FPT 划分阶段。</w:t>
      </w:r>
    </w:p>
    <w:p>
      <w:pPr>
        <w:numPr>
          <w:ilvl w:val="0"/>
          <w:numId w:val="1004"/>
        </w:numPr>
        <w:pStyle w:val="Compact"/>
      </w:pPr>
      <w:r>
        <w:rPr>
          <w:rFonts w:ascii="宋体" w:hAnsi="宋体" w:eastAsia="宋体"/>
        </w:rPr>
        <w:t xml:space="preserve">构造退化阶段标注数据集。</w:t>
      </w:r>
    </w:p>
    <w:p>
      <w:pPr>
        <w:numPr>
          <w:ilvl w:val="0"/>
          <w:numId w:val="1004"/>
        </w:numPr>
        <w:pStyle w:val="Compact"/>
      </w:pPr>
      <w:r>
        <w:rPr>
          <w:rFonts w:ascii="宋体" w:hAnsi="宋体" w:eastAsia="宋体"/>
        </w:rPr>
        <w:t xml:space="preserve">生成退化阶段标注并训练序列预测或可视化模型。</w:t>
      </w:r>
    </w:p>
    <w:p>
      <w:pPr>
        <w:numPr>
          <w:ilvl w:val="0"/>
          <w:numId w:val="1004"/>
        </w:numPr>
        <w:pStyle w:val="Compact"/>
      </w:pPr>
      <w:r>
        <w:rPr>
          <w:rFonts w:ascii="宋体" w:hAnsi="宋体" w:eastAsia="宋体"/>
        </w:rPr>
        <w:t xml:space="preserve">导出误差分布图和退化阶段图。</w:t>
      </w:r>
    </w:p>
    <w:bookmarkEnd w:id="28"/>
    <w:bookmarkStart w:id="29" w:name="健康指标滚动预测流程"/>
    <w:p>
      <w:pPr>
        <w:pStyle w:val="Heading3"/>
      </w:pPr>
      <w:r>
        <w:rPr>
          <w:rFonts w:ascii="黑体" w:hAnsi="黑体" w:eastAsia="黑体"/>
        </w:rPr>
        <w:t xml:space="preserve">6.3 健康指标滚动预测流程</w:t>
      </w:r>
    </w:p>
    <w:p>
      <w:pPr>
        <w:numPr>
          <w:ilvl w:val="0"/>
          <w:numId w:val="1005"/>
        </w:numPr>
        <w:pStyle w:val="Compact"/>
      </w:pPr>
      <w:r>
        <w:rPr>
          <w:rFonts w:ascii="宋体" w:hAnsi="宋体" w:eastAsia="宋体"/>
        </w:rPr>
        <w:t xml:space="preserve">先生成健康指标序列。</w:t>
      </w:r>
    </w:p>
    <w:p>
      <w:pPr>
        <w:numPr>
          <w:ilvl w:val="0"/>
          <w:numId w:val="1005"/>
        </w:numPr>
        <w:pStyle w:val="Compact"/>
      </w:pPr>
      <w:r>
        <w:rPr>
          <w:rFonts w:ascii="宋体" w:hAnsi="宋体" w:eastAsia="宋体"/>
        </w:rPr>
        <w:t xml:space="preserve">构造序列预测数据集。</w:t>
      </w:r>
    </w:p>
    <w:p>
      <w:pPr>
        <w:numPr>
          <w:ilvl w:val="0"/>
          <w:numId w:val="1005"/>
        </w:numPr>
        <w:pStyle w:val="Compact"/>
      </w:pPr>
      <w:r>
        <w:rPr>
          <w:rFonts w:ascii="宋体" w:hAnsi="宋体" w:eastAsia="宋体"/>
        </w:rPr>
        <w:t xml:space="preserve">使用 RollingPredictor 进行单步或多步预测。</w:t>
      </w:r>
    </w:p>
    <w:p>
      <w:pPr>
        <w:numPr>
          <w:ilvl w:val="0"/>
          <w:numId w:val="1005"/>
        </w:numPr>
        <w:pStyle w:val="Compact"/>
      </w:pPr>
      <w:r>
        <w:rPr>
          <w:rFonts w:ascii="宋体" w:hAnsi="宋体" w:eastAsia="宋体"/>
        </w:rPr>
        <w:t xml:space="preserve">检查预测结果长度和导出文件。</w:t>
      </w:r>
    </w:p>
    <w:bookmarkEnd w:id="29"/>
    <w:bookmarkEnd w:id="30"/>
    <w:bookmarkStart w:id="32" w:name="数据流转测试"/>
    <w:p>
      <w:pPr>
        <w:pStyle w:val="Heading2"/>
      </w:pPr>
      <w:r>
        <w:rPr>
          <w:rFonts w:ascii="黑体" w:hAnsi="黑体" w:eastAsia="黑体"/>
        </w:rPr>
        <w:t xml:space="preserve">7. 数据流转测试</w:t>
      </w:r>
    </w:p>
    <w:p>
      <w:pPr>
        <w:pStyle w:val="FirstParagraph"/>
      </w:pPr>
      <w:r>
        <w:rPr>
          <w:rFonts w:ascii="宋体" w:hAnsi="宋体" w:eastAsia="宋体"/>
        </w:rPr>
        <w:t xml:space="preserve">集成测试中需要重点检查以下数据流转节点：</w:t>
      </w:r>
    </w:p>
    <w:p>
      <w:pPr>
        <w:numPr>
          <w:ilvl w:val="0"/>
          <w:numId w:val="1006"/>
        </w:numPr>
        <w:pStyle w:val="Compact"/>
      </w:pPr>
      <w:r>
        <w:rPr>
          <w:rFonts w:ascii="宋体" w:hAnsi="宋体" w:eastAsia="宋体"/>
        </w:rPr>
        <w:t xml:space="preserve">loader 输出的实体对象是否包含后续所需元数据。</w:t>
      </w:r>
    </w:p>
    <w:p>
      <w:pPr>
        <w:numPr>
          <w:ilvl w:val="0"/>
          <w:numId w:val="1006"/>
        </w:numPr>
        <w:pStyle w:val="Compact"/>
      </w:pPr>
      <w:r>
        <w:rPr>
          <w:rFonts w:ascii="宋体" w:hAnsi="宋体" w:eastAsia="宋体"/>
        </w:rPr>
        <w:t xml:space="preserve">labeler 输出的数据集是否能被 trainer 直接消费。</w:t>
      </w:r>
    </w:p>
    <w:p>
      <w:pPr>
        <w:numPr>
          <w:ilvl w:val="0"/>
          <w:numId w:val="1006"/>
        </w:numPr>
        <w:pStyle w:val="Compact"/>
      </w:pPr>
      <w:r>
        <w:rPr>
          <w:rFonts w:ascii="宋体" w:hAnsi="宋体" w:eastAsia="宋体"/>
        </w:rPr>
        <w:t xml:space="preserve">tester 输出的预测结果是否能被 evaluator 和 visualizer 复用。</w:t>
      </w:r>
    </w:p>
    <w:p>
      <w:pPr>
        <w:numPr>
          <w:ilvl w:val="0"/>
          <w:numId w:val="1006"/>
        </w:numPr>
        <w:pStyle w:val="Compact"/>
      </w:pPr>
      <w:r>
        <w:rPr>
          <w:rFonts w:ascii="宋体" w:hAnsi="宋体" w:eastAsia="宋体"/>
        </w:rPr>
        <w:t xml:space="preserve">experiment tracker 是否能正确保存训练配置和结果。</w:t>
      </w:r>
    </w:p>
    <w:bookmarkStart w:id="31" w:name="端到端数据流检查点"/>
    <w:p>
      <w:pPr>
        <w:pStyle w:val="Heading3"/>
      </w:pPr>
      <w:r>
        <w:rPr>
          <w:rFonts w:ascii="黑体" w:hAnsi="黑体" w:eastAsia="黑体"/>
        </w:rPr>
        <w:t xml:space="preserve">7.1 端到端数据流检查点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检查点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上游模块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下游模块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检查内容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Loader 输出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数据接入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标签构造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轴承编号、通道、采样率、快照顺序是否完整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特征表输出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特征工程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模型训练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特征列数量、缺失值处理、序列长度是否符合配置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训练输出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模型训练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评价模块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predictions 中 target/prediction 是否成对存在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指标输出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评价模块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notebook/报告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RMSE、Score、样本数和 epoch 是否落盘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可视化输出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评价模块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答辩材料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图表标题、轴标签、数据集名称是否清楚</w:t>
            </w:r>
          </w:p>
        </w:tc>
      </w:tr>
    </w:tbl>
    <w:bookmarkEnd w:id="31"/>
    <w:bookmarkEnd w:id="32"/>
    <w:bookmarkStart w:id="33" w:name="接口联调测试"/>
    <w:p>
      <w:pPr>
        <w:pStyle w:val="Heading2"/>
      </w:pPr>
      <w:r>
        <w:rPr>
          <w:rFonts w:ascii="黑体" w:hAnsi="黑体" w:eastAsia="黑体"/>
        </w:rPr>
        <w:t xml:space="preserve">8. 接口联调测试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联调编号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联调对象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关注点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IT-01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loader + labeler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通道选择、样本窗口和标签长度一致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IT-02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trainer + callback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生命周期事件正确触发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IT-03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tester + evaluator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预测结果字段满足指标计算要求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IT-04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evaluator + visualizer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指标与图表的输入口径一致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IT-05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tracker + serializer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配置、历史和结果文件能完整保存</w:t>
            </w:r>
          </w:p>
        </w:tc>
      </w:tr>
    </w:tbl>
    <w:bookmarkEnd w:id="33"/>
    <w:bookmarkStart w:id="34" w:name="缺陷处理机制"/>
    <w:p>
      <w:pPr>
        <w:pStyle w:val="Heading2"/>
      </w:pPr>
      <w:r>
        <w:rPr>
          <w:rFonts w:ascii="黑体" w:hAnsi="黑体" w:eastAsia="黑体"/>
        </w:rPr>
        <w:t xml:space="preserve">9. 缺陷处理机制</w:t>
      </w:r>
    </w:p>
    <w:p>
      <w:pPr>
        <w:numPr>
          <w:ilvl w:val="0"/>
          <w:numId w:val="1007"/>
        </w:numPr>
        <w:pStyle w:val="Compact"/>
      </w:pPr>
      <w:r>
        <w:rPr>
          <w:rFonts w:ascii="宋体" w:hAnsi="宋体" w:eastAsia="宋体"/>
        </w:rPr>
        <w:t xml:space="preserve">集成测试发现问题后，优先判断是接口定义错误还是单模块实现错误。</w:t>
      </w:r>
    </w:p>
    <w:p>
      <w:pPr>
        <w:numPr>
          <w:ilvl w:val="0"/>
          <w:numId w:val="1007"/>
        </w:numPr>
        <w:pStyle w:val="Compact"/>
      </w:pPr>
      <w:r>
        <w:rPr>
          <w:rFonts w:ascii="宋体" w:hAnsi="宋体" w:eastAsia="宋体"/>
        </w:rPr>
        <w:t xml:space="preserve">若是接口问题，先修正文档和统一对象结构，再修实现。</w:t>
      </w:r>
    </w:p>
    <w:p>
      <w:pPr>
        <w:numPr>
          <w:ilvl w:val="0"/>
          <w:numId w:val="1007"/>
        </w:numPr>
        <w:pStyle w:val="Compact"/>
      </w:pPr>
      <w:r>
        <w:rPr>
          <w:rFonts w:ascii="宋体" w:hAnsi="宋体" w:eastAsia="宋体"/>
        </w:rPr>
        <w:t xml:space="preserve">若是实现问题，修复后需回归对应单元测试和当前集成测试。</w:t>
      </w:r>
    </w:p>
    <w:bookmarkEnd w:id="34"/>
    <w:bookmarkStart w:id="35" w:name="测试进度安排"/>
    <w:p>
      <w:pPr>
        <w:pStyle w:val="Heading2"/>
      </w:pPr>
      <w:r>
        <w:rPr>
          <w:rFonts w:ascii="黑体" w:hAnsi="黑体" w:eastAsia="黑体"/>
        </w:rPr>
        <w:t xml:space="preserve">10. 测试进度安排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阶段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时间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集成准备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第 5 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冻结关键接口，准备集成数据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主流程联调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第 6 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训练主链路集成测试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展示联调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第 7 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指标、图表和实验记录联调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验收前回归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第 8 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关键流程回归测试</w:t>
            </w:r>
          </w:p>
        </w:tc>
      </w:tr>
    </w:tbl>
    <w:bookmarkEnd w:id="35"/>
    <w:bookmarkStart w:id="36" w:name="通过准则"/>
    <w:p>
      <w:pPr>
        <w:pStyle w:val="Heading2"/>
      </w:pPr>
      <w:r>
        <w:rPr>
          <w:rFonts w:ascii="黑体" w:hAnsi="黑体" w:eastAsia="黑体"/>
        </w:rPr>
        <w:t xml:space="preserve">11. 通过准则</w:t>
      </w:r>
    </w:p>
    <w:p>
      <w:pPr>
        <w:pStyle w:val="FirstParagraph"/>
      </w:pPr>
      <w:r>
        <w:rPr>
          <w:rFonts w:ascii="宋体" w:hAnsi="宋体" w:eastAsia="宋体"/>
        </w:rPr>
        <w:t xml:space="preserve">集成测试通过需满足以下条件：</w:t>
      </w:r>
    </w:p>
    <w:p>
      <w:pPr>
        <w:numPr>
          <w:ilvl w:val="0"/>
          <w:numId w:val="1008"/>
        </w:numPr>
        <w:pStyle w:val="Compact"/>
      </w:pPr>
      <w:r>
        <w:rPr>
          <w:rFonts w:ascii="宋体" w:hAnsi="宋体" w:eastAsia="宋体"/>
        </w:rPr>
        <w:t xml:space="preserve">三条核心业务流程至少各通过一轮。</w:t>
      </w:r>
    </w:p>
    <w:p>
      <w:pPr>
        <w:numPr>
          <w:ilvl w:val="0"/>
          <w:numId w:val="1008"/>
        </w:numPr>
        <w:pStyle w:val="Compact"/>
      </w:pPr>
      <w:r>
        <w:rPr>
          <w:rFonts w:ascii="宋体" w:hAnsi="宋体" w:eastAsia="宋体"/>
        </w:rPr>
        <w:t xml:space="preserve">接口联调用例全部通过。</w:t>
      </w:r>
    </w:p>
    <w:p>
      <w:pPr>
        <w:numPr>
          <w:ilvl w:val="0"/>
          <w:numId w:val="1008"/>
        </w:numPr>
        <w:pStyle w:val="Compact"/>
      </w:pPr>
      <w:r>
        <w:rPr>
          <w:rFonts w:ascii="宋体" w:hAnsi="宋体" w:eastAsia="宋体"/>
        </w:rPr>
        <w:t xml:space="preserve">无阻塞性缺陷残留。</w:t>
      </w:r>
    </w:p>
    <w:p>
      <w:pPr>
        <w:numPr>
          <w:ilvl w:val="0"/>
          <w:numId w:val="1008"/>
        </w:numPr>
        <w:pStyle w:val="Compact"/>
      </w:pPr>
      <w:r>
        <w:rPr>
          <w:rFonts w:ascii="宋体" w:hAnsi="宋体" w:eastAsia="宋体"/>
        </w:rPr>
        <w:t xml:space="preserve">图表、日志和结果文件成功输出。</w:t>
      </w:r>
    </w:p>
    <w:bookmarkEnd w:id="36"/>
    <w:bookmarkStart w:id="37" w:name="结论"/>
    <w:p>
      <w:pPr>
        <w:pStyle w:val="Heading2"/>
      </w:pPr>
      <w:r>
        <w:rPr>
          <w:rFonts w:ascii="黑体" w:hAnsi="黑体" w:eastAsia="黑体"/>
        </w:rPr>
        <w:t xml:space="preserve">12. 结论</w:t>
      </w:r>
    </w:p>
    <w:p>
      <w:pPr>
        <w:pStyle w:val="FirstParagraph"/>
      </w:pPr>
      <w:r>
        <w:rPr>
          <w:rFonts w:ascii="宋体" w:hAnsi="宋体" w:eastAsia="宋体"/>
        </w:rPr>
        <w:t xml:space="preserve">集成测试的作用在于证明系统不是一组孤立模块，而是一条可以真实运行的业务链路。对本项目而言，集成测试是从</w:t>
      </w:r>
      <w:r>
        <w:rPr>
          <w:rFonts w:ascii="宋体" w:hAnsi="宋体" w:eastAsia="宋体"/>
        </w:rPr>
        <w:t xml:space="preserve">“</w:t>
      </w:r>
      <w:r>
        <w:rPr>
          <w:rFonts w:ascii="宋体" w:hAnsi="宋体" w:eastAsia="宋体"/>
        </w:rPr>
        <w:t xml:space="preserve">模块可用</w:t>
      </w:r>
      <w:r>
        <w:rPr>
          <w:rFonts w:ascii="宋体" w:hAnsi="宋体" w:eastAsia="宋体"/>
        </w:rPr>
        <w:t xml:space="preserve">”</w:t>
      </w:r>
      <w:r>
        <w:rPr>
          <w:rFonts w:ascii="宋体" w:hAnsi="宋体" w:eastAsia="宋体"/>
        </w:rPr>
        <w:t xml:space="preserve">走向</w:t>
      </w:r>
      <w:r>
        <w:rPr>
          <w:rFonts w:ascii="宋体" w:hAnsi="宋体" w:eastAsia="宋体"/>
        </w:rPr>
        <w:t xml:space="preserve">“</w:t>
      </w:r>
      <w:r>
        <w:rPr>
          <w:rFonts w:ascii="宋体" w:hAnsi="宋体" w:eastAsia="宋体"/>
        </w:rPr>
        <w:t xml:space="preserve">系统可交付</w:t>
      </w:r>
      <w:r>
        <w:rPr>
          <w:rFonts w:ascii="宋体" w:hAnsi="宋体" w:eastAsia="宋体"/>
        </w:rPr>
        <w:t xml:space="preserve">”</w:t>
      </w:r>
      <w:r>
        <w:rPr>
          <w:rFonts w:ascii="宋体" w:hAnsi="宋体" w:eastAsia="宋体"/>
        </w:rPr>
        <w:t xml:space="preserve">的关键阶段。</w:t>
      </w:r>
    </w:p>
    <w:bookmarkEnd w:id="37"/>
    <w:bookmarkEnd w:id="38"/>
    <w:sectPr>
      <w:pgMar w:top="1361" w:bottom="124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08_集成测试计划文档</dc:title>
  <dc:creator>zyj、cyy、zdh、zy</dc:creator>
  <cp:keywords>RUL, 预测性维护, 工业轴承, 软件工程</cp:keywords>
  <dcterms:created xsi:type="dcterms:W3CDTF">2026-06-14T11:03:46Z</dcterms:created>
  <dcterms:modified xsi:type="dcterms:W3CDTF">2026-06-14T11:03:46Z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