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工业轴承设备剩余寿命预测系统的实现编码规范文档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工业轴承设备剩余寿命预测系统的实现：编码规范文档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编码规范文档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SE-PHM-MID-11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源码、测试、文档、提交和导出规范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适用范围与原则"/>
    <w:p>
      <w:pPr>
        <w:pStyle w:val="Heading2"/>
      </w:pPr>
      <w:r>
        <w:rPr>
          <w:rFonts w:ascii="黑体" w:hAnsi="黑体" w:eastAsia="黑体"/>
        </w:rPr>
        <w:t xml:space="preserve">1. 适用范围与原则</w:t>
      </w:r>
    </w:p>
    <w:p>
      <w:pPr>
        <w:pStyle w:val="FirstParagraph"/>
      </w:pPr>
      <w:r>
        <w:rPr>
          <w:rFonts w:ascii="宋体" w:hAnsi="宋体" w:eastAsia="宋体"/>
        </w:rPr>
        <w:t xml:space="preserve">本文档适用于本项目所有 Python 源码、测试代码、脚本和文档编写工作。规范目标包括：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提高代码可读性和一致性。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降低多人协作中的接口误解和风格漂移。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满足软件工程课程对命名空间、注释和提交规范的要求。</w:t>
      </w:r>
    </w:p>
    <w:bookmarkEnd w:id="22"/>
    <w:bookmarkStart w:id="25" w:name="命名规范"/>
    <w:p>
      <w:pPr>
        <w:pStyle w:val="Heading2"/>
      </w:pPr>
      <w:r>
        <w:rPr>
          <w:rFonts w:ascii="黑体" w:hAnsi="黑体" w:eastAsia="黑体"/>
        </w:rPr>
        <w:t xml:space="preserve">2. 命名规范</w:t>
      </w:r>
    </w:p>
    <w:bookmarkStart w:id="23" w:name="命名空间规范"/>
    <w:p>
      <w:pPr>
        <w:pStyle w:val="Heading3"/>
      </w:pPr>
      <w:r>
        <w:rPr>
          <w:rFonts w:ascii="黑体" w:hAnsi="黑体" w:eastAsia="黑体"/>
        </w:rPr>
        <w:t xml:space="preserve">2.1 命名空间规范</w:t>
      </w:r>
    </w:p>
    <w:p>
      <w:pPr>
        <w:pStyle w:val="FirstParagraph"/>
      </w:pPr>
      <w:r>
        <w:rPr>
          <w:rFonts w:ascii="宋体" w:hAnsi="宋体" w:eastAsia="宋体"/>
        </w:rPr>
        <w:t xml:space="preserve">采用名字空间的编程语言时，统一使用：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USTC.SSE.BearingPrediction</w:t>
      </w:r>
    </w:p>
    <w:p>
      <w:pPr>
        <w:pStyle w:val="FirstParagraph"/>
      </w:pPr>
      <w:r>
        <w:rPr>
          <w:rFonts w:ascii="宋体" w:hAnsi="宋体" w:eastAsia="宋体"/>
        </w:rPr>
        <w:t xml:space="preserve">例如：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USTC.SSE.BearingPrediction.dataset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USTC.SSE.BearingPrediction.training</w:t>
      </w:r>
    </w:p>
    <w:bookmarkEnd w:id="23"/>
    <w:bookmarkStart w:id="24" w:name="类函数变量命名规范"/>
    <w:p>
      <w:pPr>
        <w:pStyle w:val="Heading3"/>
      </w:pPr>
      <w:r>
        <w:rPr>
          <w:rFonts w:ascii="黑体" w:hAnsi="黑体" w:eastAsia="黑体"/>
        </w:rPr>
        <w:t xml:space="preserve">2.2 类、函数、变量命名规范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类名使用 PascalCase，例如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BaseTrainer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BearingEntity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函数名和变量名使用有意义的英文蛇形命名，例如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load_entity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remaining_life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常量使用全大写下划线命名，例如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DEFAULT_WINDOW_SIZE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禁止使用无意义名称，例如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tmp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a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b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作为长期保留变量名。</w:t>
      </w:r>
    </w:p>
    <w:bookmarkEnd w:id="24"/>
    <w:bookmarkEnd w:id="25"/>
    <w:bookmarkStart w:id="26" w:name="目录结构规范"/>
    <w:p>
      <w:pPr>
        <w:pStyle w:val="Heading2"/>
      </w:pPr>
      <w:r>
        <w:rPr>
          <w:rFonts w:ascii="黑体" w:hAnsi="黑体" w:eastAsia="黑体"/>
        </w:rPr>
        <w:t xml:space="preserve">3. 目录结构规范</w:t>
      </w:r>
    </w:p>
    <w:p>
      <w:pPr>
        <w:pStyle w:val="FirstParagraph"/>
      </w:pPr>
      <w:r>
        <w:rPr>
          <w:rFonts w:ascii="宋体" w:hAnsi="宋体" w:eastAsia="宋体"/>
        </w:rPr>
        <w:t xml:space="preserve">项目核心目录应遵循统一职责划分。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src/USTC/SSE/BearingPrediction/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dataset/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preprocess/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feature/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labeling/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models/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training/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prediction/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evaluation/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visualization/</w:t>
      </w:r>
    </w:p>
    <w:p>
      <w:pPr>
        <w:pStyle w:val="FirstParagraph"/>
      </w:pPr>
      <w:r>
        <w:rPr>
          <w:rFonts w:ascii="宋体" w:hAnsi="宋体" w:eastAsia="宋体"/>
        </w:rPr>
        <w:t xml:space="preserve">测试代码统一放在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tests/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下，课程提交文档放在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docx/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下，其他技术说明放在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docs/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下。</w:t>
      </w:r>
    </w:p>
    <w:bookmarkEnd w:id="26"/>
    <w:bookmarkStart w:id="27" w:name="python-代码风格规范"/>
    <w:p>
      <w:pPr>
        <w:pStyle w:val="Heading2"/>
      </w:pPr>
      <w:r>
        <w:rPr>
          <w:rFonts w:ascii="黑体" w:hAnsi="黑体" w:eastAsia="黑体"/>
        </w:rPr>
        <w:t xml:space="preserve">4. Python 代码风格规范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遵循 PEP 8。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明确导入顺序：标准库、第三方库、项目内模块。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函数应尽量保持单一职责。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优先使用显式返回值和清晰类型注解。</w:t>
      </w:r>
    </w:p>
    <w:p>
      <w:pPr>
        <w:pStyle w:val="FirstParagraph"/>
      </w:pPr>
      <w:r>
        <w:rPr>
          <w:rFonts w:ascii="宋体" w:hAnsi="宋体" w:eastAsia="宋体"/>
        </w:rPr>
        <w:t xml:space="preserve">示例：</w:t>
      </w:r>
    </w:p>
    <w:p>
      <w:pPr>
        <w:pStyle w:val="SourceCode"/>
      </w:pPr>
      <w:r>
        <w:rPr>
          <w:rStyle w:val="ImportTok"/>
          <w:rFonts w:ascii="宋体" w:hAnsi="宋体" w:eastAsia="宋体"/>
        </w:rPr>
        <w:t xml:space="preserve">from</w:t>
      </w:r>
      <w:r>
        <w:rPr>
          <w:rStyle w:val="NormalTok"/>
          <w:rFonts w:ascii="宋体" w:hAnsi="宋体" w:eastAsia="宋体"/>
        </w:rPr>
        <w:t xml:space="preserve"> pathlib </w:t>
      </w:r>
      <w:r>
        <w:rPr>
          <w:rStyle w:val="ImportTok"/>
          <w:rFonts w:ascii="宋体" w:hAnsi="宋体" w:eastAsia="宋体"/>
        </w:rPr>
        <w:t xml:space="preserve">import</w:t>
      </w:r>
      <w:r>
        <w:rPr>
          <w:rStyle w:val="NormalTok"/>
          <w:rFonts w:ascii="宋体" w:hAnsi="宋体" w:eastAsia="宋体"/>
        </w:rPr>
        <w:t xml:space="preserve"> Path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ImportTok"/>
          <w:rFonts w:ascii="宋体" w:hAnsi="宋体" w:eastAsia="宋体"/>
        </w:rPr>
        <w:t xml:space="preserve">import</w:t>
      </w:r>
      <w:r>
        <w:rPr>
          <w:rStyle w:val="NormalTok"/>
          <w:rFonts w:ascii="宋体" w:hAnsi="宋体" w:eastAsia="宋体"/>
        </w:rPr>
        <w:t xml:space="preserve"> pandas </w:t>
      </w:r>
      <w:r>
        <w:rPr>
          <w:rStyle w:val="ImportTok"/>
          <w:rFonts w:ascii="宋体" w:hAnsi="宋体" w:eastAsia="宋体"/>
        </w:rPr>
        <w:t xml:space="preserve">as</w:t>
      </w:r>
      <w:r>
        <w:rPr>
          <w:rStyle w:val="NormalTok"/>
          <w:rFonts w:ascii="宋体" w:hAnsi="宋体" w:eastAsia="宋体"/>
        </w:rPr>
        <w:t xml:space="preserve"> pd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ImportTok"/>
          <w:rFonts w:ascii="宋体" w:hAnsi="宋体" w:eastAsia="宋体"/>
        </w:rPr>
        <w:t xml:space="preserve">from</w:t>
      </w:r>
      <w:r>
        <w:rPr>
          <w:rStyle w:val="NormalTok"/>
          <w:rFonts w:ascii="宋体" w:hAnsi="宋体" w:eastAsia="宋体"/>
        </w:rPr>
        <w:t xml:space="preserve"> USTC.SSE.BearingPrediction.data.entities </w:t>
      </w:r>
      <w:r>
        <w:rPr>
          <w:rStyle w:val="ImportTok"/>
          <w:rFonts w:ascii="宋体" w:hAnsi="宋体" w:eastAsia="宋体"/>
        </w:rPr>
        <w:t xml:space="preserve">import</w:t>
      </w:r>
      <w:r>
        <w:rPr>
          <w:rStyle w:val="NormalTok"/>
          <w:rFonts w:ascii="宋体" w:hAnsi="宋体" w:eastAsia="宋体"/>
        </w:rPr>
        <w:t xml:space="preserve"> BearingEntity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KeywordTok"/>
          <w:rFonts w:ascii="宋体" w:hAnsi="宋体" w:eastAsia="宋体"/>
        </w:rPr>
        <w:t xml:space="preserve">def</w:t>
      </w:r>
      <w:r>
        <w:rPr>
          <w:rStyle w:val="NormalTok"/>
          <w:rFonts w:ascii="宋体" w:hAnsi="宋体" w:eastAsia="宋体"/>
        </w:rPr>
        <w:t xml:space="preserve"> load_metadata(metadata_path: Path) </w:t>
      </w:r>
      <w:r>
        <w:rPr>
          <w:rStyle w:val="OperatorTok"/>
          <w:rFonts w:ascii="宋体" w:hAnsi="宋体" w:eastAsia="宋体"/>
        </w:rPr>
        <w:t xml:space="preserve">-&gt;</w:t>
      </w:r>
      <w:r>
        <w:rPr>
          <w:rStyle w:val="NormalTok"/>
          <w:rFonts w:ascii="宋体" w:hAnsi="宋体" w:eastAsia="宋体"/>
        </w:rPr>
        <w:t xml:space="preserve"> pd.DataFrame: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</w:t>
      </w:r>
      <w:r>
        <w:rPr>
          <w:rStyle w:val="CommentTok"/>
          <w:rFonts w:ascii="宋体" w:hAnsi="宋体" w:eastAsia="宋体"/>
        </w:rPr>
        <w:t xml:space="preserve">"""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Load metadata from a csv file.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Parameters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----------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metadata_path : Path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    metadata file path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Returns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-------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pd.DataFrame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    parsed metadata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"""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</w:t>
      </w:r>
      <w:r>
        <w:rPr>
          <w:rStyle w:val="ControlFlowTok"/>
          <w:rFonts w:ascii="宋体" w:hAnsi="宋体" w:eastAsia="宋体"/>
        </w:rPr>
        <w:t xml:space="preserve">return</w:t>
      </w:r>
      <w:r>
        <w:rPr>
          <w:rStyle w:val="NormalTok"/>
          <w:rFonts w:ascii="宋体" w:hAnsi="宋体" w:eastAsia="宋体"/>
        </w:rPr>
        <w:t xml:space="preserve"> pd.read_csv(metadata_path)</w:t>
      </w:r>
    </w:p>
    <w:bookmarkEnd w:id="27"/>
    <w:bookmarkStart w:id="30" w:name="注释规范"/>
    <w:p>
      <w:pPr>
        <w:pStyle w:val="Heading2"/>
      </w:pPr>
      <w:r>
        <w:rPr>
          <w:rFonts w:ascii="黑体" w:hAnsi="黑体" w:eastAsia="黑体"/>
        </w:rPr>
        <w:t xml:space="preserve">5. 注释规范</w:t>
      </w:r>
    </w:p>
    <w:bookmarkStart w:id="28" w:name="文件头注释规范"/>
    <w:p>
      <w:pPr>
        <w:pStyle w:val="Heading3"/>
      </w:pPr>
      <w:r>
        <w:rPr>
          <w:rFonts w:ascii="黑体" w:hAnsi="黑体" w:eastAsia="黑体"/>
        </w:rPr>
        <w:t xml:space="preserve">5.1 文件头注释规范</w:t>
      </w:r>
    </w:p>
    <w:p>
      <w:pPr>
        <w:pStyle w:val="FirstParagraph"/>
      </w:pPr>
      <w:r>
        <w:rPr>
          <w:rFonts w:ascii="宋体" w:hAnsi="宋体" w:eastAsia="宋体"/>
        </w:rPr>
        <w:t xml:space="preserve">每个独立程序开头必须包含作者姓名、编程日期、程序主要功能和 USTC 版权说明。</w:t>
      </w:r>
    </w:p>
    <w:p>
      <w:pPr>
        <w:pStyle w:val="BodyText"/>
      </w:pPr>
      <w:r>
        <w:rPr>
          <w:rFonts w:ascii="宋体" w:hAnsi="宋体" w:eastAsia="宋体"/>
        </w:rPr>
        <w:t xml:space="preserve">示例：</w:t>
      </w:r>
    </w:p>
    <w:p>
      <w:pPr>
        <w:pStyle w:val="SourceCode"/>
      </w:pPr>
      <w:r>
        <w:rPr>
          <w:rStyle w:val="CommentTok"/>
          <w:rFonts w:ascii="宋体" w:hAnsi="宋体" w:eastAsia="宋体"/>
        </w:rPr>
        <w:t xml:space="preserve">"""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Trainer module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this file is for model training with callbacks and experiment recording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created by zyj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copyright USTC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2026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"""</w:t>
      </w:r>
    </w:p>
    <w:bookmarkEnd w:id="28"/>
    <w:bookmarkStart w:id="29" w:name="函数注释规范"/>
    <w:p>
      <w:pPr>
        <w:pStyle w:val="Heading3"/>
      </w:pPr>
      <w:r>
        <w:rPr>
          <w:rFonts w:ascii="黑体" w:hAnsi="黑体" w:eastAsia="黑体"/>
        </w:rPr>
        <w:t xml:space="preserve">5.2 函数注释规范</w:t>
      </w:r>
    </w:p>
    <w:p>
      <w:pPr>
        <w:pStyle w:val="FirstParagraph"/>
      </w:pPr>
      <w:r>
        <w:rPr>
          <w:rFonts w:ascii="宋体" w:hAnsi="宋体" w:eastAsia="宋体"/>
        </w:rPr>
        <w:t xml:space="preserve">主要函数或方法前必须写明功能、输入参数和输出参数。</w:t>
      </w:r>
    </w:p>
    <w:p>
      <w:pPr>
        <w:pStyle w:val="BodyText"/>
      </w:pPr>
      <w:r>
        <w:rPr>
          <w:rFonts w:ascii="宋体" w:hAnsi="宋体" w:eastAsia="宋体"/>
        </w:rPr>
        <w:t xml:space="preserve">示例：</w:t>
      </w:r>
    </w:p>
    <w:p>
      <w:pPr>
        <w:pStyle w:val="SourceCode"/>
      </w:pPr>
      <w:r>
        <w:rPr>
          <w:rStyle w:val="KeywordTok"/>
          <w:rFonts w:ascii="宋体" w:hAnsi="宋体" w:eastAsia="宋体"/>
        </w:rPr>
        <w:t xml:space="preserve">def</w:t>
      </w:r>
      <w:r>
        <w:rPr>
          <w:rStyle w:val="NormalTok"/>
          <w:rFonts w:ascii="宋体" w:hAnsi="宋体" w:eastAsia="宋体"/>
        </w:rPr>
        <w:t xml:space="preserve"> extract_time_features(signal: np.ndarray) </w:t>
      </w:r>
      <w:r>
        <w:rPr>
          <w:rStyle w:val="OperatorTok"/>
          <w:rFonts w:ascii="宋体" w:hAnsi="宋体" w:eastAsia="宋体"/>
        </w:rPr>
        <w:t xml:space="preserve">-&gt;</w:t>
      </w:r>
      <w:r>
        <w:rPr>
          <w:rStyle w:val="NormalTok"/>
          <w:rFonts w:ascii="宋体" w:hAnsi="宋体" w:eastAsia="宋体"/>
        </w:rPr>
        <w:t xml:space="preserve"> </w:t>
      </w:r>
      <w:r>
        <w:rPr>
          <w:rStyle w:val="BuiltInTok"/>
          <w:rFonts w:ascii="宋体" w:hAnsi="宋体" w:eastAsia="宋体"/>
        </w:rPr>
        <w:t xml:space="preserve">dict</w:t>
      </w:r>
      <w:r>
        <w:rPr>
          <w:rStyle w:val="NormalTok"/>
          <w:rFonts w:ascii="宋体" w:hAnsi="宋体" w:eastAsia="宋体"/>
        </w:rPr>
        <w:t xml:space="preserve">[</w:t>
      </w:r>
      <w:r>
        <w:rPr>
          <w:rStyle w:val="BuiltInTok"/>
          <w:rFonts w:ascii="宋体" w:hAnsi="宋体" w:eastAsia="宋体"/>
        </w:rPr>
        <w:t xml:space="preserve">str</w:t>
      </w:r>
      <w:r>
        <w:rPr>
          <w:rStyle w:val="NormalTok"/>
          <w:rFonts w:ascii="宋体" w:hAnsi="宋体" w:eastAsia="宋体"/>
        </w:rPr>
        <w:t xml:space="preserve">, </w:t>
      </w:r>
      <w:r>
        <w:rPr>
          <w:rStyle w:val="BuiltInTok"/>
          <w:rFonts w:ascii="宋体" w:hAnsi="宋体" w:eastAsia="宋体"/>
        </w:rPr>
        <w:t xml:space="preserve">float</w:t>
      </w:r>
      <w:r>
        <w:rPr>
          <w:rStyle w:val="NormalTok"/>
          <w:rFonts w:ascii="宋体" w:hAnsi="宋体" w:eastAsia="宋体"/>
        </w:rPr>
        <w:t xml:space="preserve">]: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</w:t>
      </w:r>
      <w:r>
        <w:rPr>
          <w:rStyle w:val="CommentTok"/>
          <w:rFonts w:ascii="宋体" w:hAnsi="宋体" w:eastAsia="宋体"/>
        </w:rPr>
        <w:t xml:space="preserve">"""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Extract time domain features from a signal window.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Parameters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----------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signal : np.ndarray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    input vibration signal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Returns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-------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dict[str, float]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    extracted feature dictionary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"""</w:t>
      </w:r>
    </w:p>
    <w:bookmarkEnd w:id="29"/>
    <w:bookmarkEnd w:id="30"/>
    <w:bookmarkStart w:id="31" w:name="异常处理规范"/>
    <w:p>
      <w:pPr>
        <w:pStyle w:val="Heading2"/>
      </w:pPr>
      <w:r>
        <w:rPr>
          <w:rFonts w:ascii="黑体" w:hAnsi="黑体" w:eastAsia="黑体"/>
        </w:rPr>
        <w:t xml:space="preserve">6. 异常处理规范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对数据路径、文件格式和训练异常给出明确错误信息。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禁止使用空的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except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块吞掉异常。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对可恢复场景可进行兼容处理，但必须保留日志或告警。</w:t>
      </w:r>
    </w:p>
    <w:p>
      <w:pPr>
        <w:pStyle w:val="FirstParagraph"/>
      </w:pPr>
      <w:r>
        <w:rPr>
          <w:rFonts w:ascii="宋体" w:hAnsi="宋体" w:eastAsia="宋体"/>
        </w:rPr>
        <w:t xml:space="preserve">示例：</w:t>
      </w:r>
    </w:p>
    <w:p>
      <w:pPr>
        <w:pStyle w:val="SourceCode"/>
      </w:pPr>
      <w:r>
        <w:rPr>
          <w:rStyle w:val="ControlFlowTok"/>
          <w:rFonts w:ascii="宋体" w:hAnsi="宋体" w:eastAsia="宋体"/>
        </w:rPr>
        <w:t xml:space="preserve">if</w:t>
      </w:r>
      <w:r>
        <w:rPr>
          <w:rStyle w:val="NormalTok"/>
          <w:rFonts w:ascii="宋体" w:hAnsi="宋体" w:eastAsia="宋体"/>
        </w:rPr>
        <w:t xml:space="preserve"> </w:t>
      </w:r>
      <w:r>
        <w:rPr>
          <w:rStyle w:val="KeywordTok"/>
          <w:rFonts w:ascii="宋体" w:hAnsi="宋体" w:eastAsia="宋体"/>
        </w:rPr>
        <w:t xml:space="preserve">not</w:t>
      </w:r>
      <w:r>
        <w:rPr>
          <w:rStyle w:val="NormalTok"/>
          <w:rFonts w:ascii="宋体" w:hAnsi="宋体" w:eastAsia="宋体"/>
        </w:rPr>
        <w:t xml:space="preserve"> data_root.exists():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</w:t>
      </w:r>
      <w:r>
        <w:rPr>
          <w:rStyle w:val="ControlFlowTok"/>
          <w:rFonts w:ascii="宋体" w:hAnsi="宋体" w:eastAsia="宋体"/>
        </w:rPr>
        <w:t xml:space="preserve">raise</w:t>
      </w:r>
      <w:r>
        <w:rPr>
          <w:rStyle w:val="NormalTok"/>
          <w:rFonts w:ascii="宋体" w:hAnsi="宋体" w:eastAsia="宋体"/>
        </w:rPr>
        <w:t xml:space="preserve"> </w:t>
      </w:r>
      <w:r>
        <w:rPr>
          <w:rStyle w:val="PreprocessorTok"/>
          <w:rFonts w:ascii="宋体" w:hAnsi="宋体" w:eastAsia="宋体"/>
        </w:rPr>
        <w:t xml:space="preserve">FileNotFoundError</w:t>
      </w:r>
      <w:r>
        <w:rPr>
          <w:rStyle w:val="NormalTok"/>
          <w:rFonts w:ascii="宋体" w:hAnsi="宋体" w:eastAsia="宋体"/>
        </w:rPr>
        <w:t xml:space="preserve">(</w:t>
      </w:r>
      <w:r>
        <w:rPr>
          <w:rStyle w:val="SpecialStringTok"/>
          <w:rFonts w:ascii="宋体" w:hAnsi="宋体" w:eastAsia="宋体"/>
        </w:rPr>
        <w:t xml:space="preserve">f"dataset root does not exist: </w:t>
      </w:r>
      <w:r>
        <w:rPr>
          <w:rStyle w:val="SpecialCharTok"/>
          <w:rFonts w:ascii="宋体" w:hAnsi="宋体" w:eastAsia="宋体"/>
        </w:rPr>
        <w:t xml:space="preserve">{</w:t>
      </w:r>
      <w:r>
        <w:rPr>
          <w:rStyle w:val="NormalTok"/>
          <w:rFonts w:ascii="宋体" w:hAnsi="宋体" w:eastAsia="宋体"/>
        </w:rPr>
        <w:t xml:space="preserve">data_root</w:t>
      </w:r>
      <w:r>
        <w:rPr>
          <w:rStyle w:val="SpecialCharTok"/>
          <w:rFonts w:ascii="宋体" w:hAnsi="宋体" w:eastAsia="宋体"/>
        </w:rPr>
        <w:t xml:space="preserve">}</w:t>
      </w:r>
      <w:r>
        <w:rPr>
          <w:rStyle w:val="SpecialStringTok"/>
          <w:rFonts w:ascii="宋体" w:hAnsi="宋体" w:eastAsia="宋体"/>
        </w:rPr>
        <w:t xml:space="preserve">"</w:t>
      </w:r>
      <w:r>
        <w:rPr>
          <w:rStyle w:val="NormalTok"/>
          <w:rFonts w:ascii="宋体" w:hAnsi="宋体" w:eastAsia="宋体"/>
        </w:rPr>
        <w:t xml:space="preserve">)</w:t>
      </w:r>
    </w:p>
    <w:bookmarkEnd w:id="31"/>
    <w:bookmarkStart w:id="32" w:name="日志规范"/>
    <w:p>
      <w:pPr>
        <w:pStyle w:val="Heading2"/>
      </w:pPr>
      <w:r>
        <w:rPr>
          <w:rFonts w:ascii="黑体" w:hAnsi="黑体" w:eastAsia="黑体"/>
        </w:rPr>
        <w:t xml:space="preserve">7. 日志规范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关键训练过程应记录 epoch、loss、主要指标和梯度范数。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梯度异常、训练提前停止和导出失败必须输出告警信息。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TensorBoard 日志目录应清晰可定位。</w:t>
      </w:r>
    </w:p>
    <w:bookmarkEnd w:id="32"/>
    <w:bookmarkStart w:id="33" w:name="配置文件规范"/>
    <w:p>
      <w:pPr>
        <w:pStyle w:val="Heading2"/>
      </w:pPr>
      <w:r>
        <w:rPr>
          <w:rFonts w:ascii="黑体" w:hAnsi="黑体" w:eastAsia="黑体"/>
        </w:rPr>
        <w:t xml:space="preserve">8. 配置文件规范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训练配置应集中管理，不应将超参数散落在多个脚本中。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实验配置建议导出为 JSON 或 YAML。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配置中应至少包含模型名、学习率、权重衰减、batch size、epoch 数和采样策略。</w:t>
      </w:r>
    </w:p>
    <w:bookmarkEnd w:id="33"/>
    <w:bookmarkStart w:id="34" w:name="测试代码规范"/>
    <w:p>
      <w:pPr>
        <w:pStyle w:val="Heading2"/>
      </w:pPr>
      <w:r>
        <w:rPr>
          <w:rFonts w:ascii="黑体" w:hAnsi="黑体" w:eastAsia="黑体"/>
        </w:rPr>
        <w:t xml:space="preserve">9. 测试代码规范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测试框架统一采用 pytest。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测试函数命名采用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test_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前缀。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优先使用合成数据减少环境依赖。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测试代码也应保持清晰命名和必要注释。</w:t>
      </w:r>
    </w:p>
    <w:bookmarkEnd w:id="34"/>
    <w:bookmarkStart w:id="35" w:name="git-提交规范"/>
    <w:p>
      <w:pPr>
        <w:pStyle w:val="Heading2"/>
      </w:pPr>
      <w:r>
        <w:rPr>
          <w:rFonts w:ascii="黑体" w:hAnsi="黑体" w:eastAsia="黑体"/>
        </w:rPr>
        <w:t xml:space="preserve">10. Git 提交规范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提交信息采用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type(scope): summary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格式。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常用类型包括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feat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fix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chore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docs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test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单次提交应聚焦一个明确主题，避免把无关改动混在一起。</w:t>
      </w:r>
    </w:p>
    <w:p>
      <w:pPr>
        <w:pStyle w:val="FirstParagraph"/>
      </w:pPr>
      <w:r>
        <w:rPr>
          <w:rFonts w:ascii="宋体" w:hAnsi="宋体" w:eastAsia="宋体"/>
        </w:rPr>
        <w:t xml:space="preserve">示例：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feat(cyy): add data pipeline and feature engineering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docs(zy): reorganize proposal and mid-term deliverables</w:t>
      </w:r>
    </w:p>
    <w:bookmarkEnd w:id="35"/>
    <w:bookmarkStart w:id="37" w:name="文档编写规范"/>
    <w:p>
      <w:pPr>
        <w:pStyle w:val="Heading2"/>
      </w:pPr>
      <w:r>
        <w:rPr>
          <w:rFonts w:ascii="黑体" w:hAnsi="黑体" w:eastAsia="黑体"/>
        </w:rPr>
        <w:t xml:space="preserve">11. 文档编写规范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文档统一使用 Markdown。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项目名称统一为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工业轴承设备剩余寿命预测系统的实现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技术栈统一写为 Python + uv 环境管理。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术语、模块划分和时间安排必须与需求和设计文档一致。</w:t>
      </w:r>
    </w:p>
    <w:bookmarkStart w:id="36" w:name="课程文档与导出规范"/>
    <w:p>
      <w:pPr>
        <w:pStyle w:val="Heading3"/>
      </w:pPr>
      <w:r>
        <w:rPr>
          <w:rFonts w:ascii="黑体" w:hAnsi="黑体" w:eastAsia="黑体"/>
        </w:rPr>
        <w:t xml:space="preserve">11.1 课程文档与导出规范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课程正式文档优先维护 Markdown 源文件，再通过脚本导出 PDF 和 DOCX，避免只修改二进制 Word 文件导致无法审阅差异。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文档中项目名称统一为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工业轴承设备剩余寿命预测系统的实现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，成员名称统一为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zyj、cyy、zdh、zy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业务主线统一表述为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预测性维护、轴承健康评估、剩余寿命预测、生存概率/失效风险分析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，不把项目主线写成离散状态识别。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引用论文复现实验时必须说明训练规模、数据划分和复现边界，避免把课程小规模训练说成作者完整实验结果。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正式交付前执行导出脚本，并检查每份 Markdown 都存在对应 PDF 和 DOCX。</w:t>
      </w:r>
    </w:p>
    <w:bookmarkEnd w:id="36"/>
    <w:bookmarkEnd w:id="37"/>
    <w:bookmarkStart w:id="38" w:name="结论"/>
    <w:p>
      <w:pPr>
        <w:pStyle w:val="Heading2"/>
      </w:pPr>
      <w:r>
        <w:rPr>
          <w:rFonts w:ascii="黑体" w:hAnsi="黑体" w:eastAsia="黑体"/>
        </w:rPr>
        <w:t xml:space="preserve">12. 结论</w:t>
      </w:r>
    </w:p>
    <w:p>
      <w:pPr>
        <w:pStyle w:val="FirstParagraph"/>
      </w:pPr>
      <w:r>
        <w:rPr>
          <w:rFonts w:ascii="宋体" w:hAnsi="宋体" w:eastAsia="宋体"/>
        </w:rPr>
        <w:t xml:space="preserve">编码规范的目标不是增加形式负担，而是降低维护成本和沟通成本。对于本项目这种需要多人协作、同时交付代码与课程文档的场景，统一规范是保障项目质量和可提交性的必要条件。</w:t>
      </w:r>
    </w:p>
    <w:bookmarkEnd w:id="38"/>
    <w:bookmarkEnd w:id="39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11_编码规范文档</dc:title>
  <dc:creator>zyj、cyy、zdh、zy</dc:creator>
  <cp:keywords>RUL, 预测性维护, 工业轴承, 软件工程</cp:keywords>
  <dcterms:created xsi:type="dcterms:W3CDTF">2026-06-14T11:03:51Z</dcterms:created>
  <dcterms:modified xsi:type="dcterms:W3CDTF">2026-06-14T11:03:51Z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