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工业轴承设备剩余寿命预测系统的实现uml-设计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黑体" w:hAnsi="黑体" w:eastAsia="黑体"/>
        </w:rPr>
        <w:t xml:space="preserve">1. 文档目的</w:t>
      </w:r>
    </w:p>
    <w:p>
      <w:pPr>
        <w:pStyle w:val="FirstParagraph"/>
      </w:pPr>
      <w:r>
        <w:rPr>
          <w:rFonts w:ascii="宋体" w:hAnsi="宋体" w:eastAsia="宋体"/>
        </w:rPr>
        <w:t xml:space="preserve">本文档用于补充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06_设计文档.md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</w:pPr>
      <w:r>
        <w:rPr>
          <w:rFonts w:ascii="宋体" w:hAnsi="宋体" w:eastAsia="宋体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黑体" w:hAnsi="黑体" w:eastAsia="黑体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视图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关注点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evaluation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src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tests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docx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 3.11、uv、本地数据目录、实验输出目录</w:t>
            </w:r>
          </w:p>
        </w:tc>
      </w:tr>
    </w:tbl>
    <w:bookmarkEnd w:id="23"/>
    <w:bookmarkStart w:id="25" w:name="用例图"/>
    <w:p>
      <w:pPr>
        <w:pStyle w:val="Heading2"/>
      </w:pPr>
      <w:r>
        <w:rPr>
          <w:rFonts w:ascii="黑体" w:hAnsi="黑体" w:eastAsia="黑体"/>
        </w:rPr>
        <w:t xml:space="preserve">3. 用例图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94268"/>
            <wp:effectExtent b="0" l="0" r="0" t="0"/>
            <wp:docPr descr="UML 用例图" title="" id="1" name="Picture"/>
            <a:graphic>
              <a:graphicData uri="http://schemas.openxmlformats.org/drawingml/2006/picture">
                <pic:pic>
                  <pic:nvPicPr>
                    <pic:cNvPr descr="../assets/uml/use-cas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用例图</w:t>
      </w:r>
    </w:p>
    <w:p>
      <w:pPr>
        <w:pStyle w:val="BodyText"/>
      </w:pPr>
      <w:r>
        <w:rPr>
          <w:rFonts w:ascii="宋体" w:hAnsi="宋体" w:eastAsia="宋体"/>
        </w:rPr>
        <w:t xml:space="preserve">用例说明：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项目维护者主要关注测试、导出脚本和后续扩展。</w:t>
      </w:r>
    </w:p>
    <w:bookmarkEnd w:id="25"/>
    <w:bookmarkStart w:id="27" w:name="核心类图"/>
    <w:p>
      <w:pPr>
        <w:pStyle w:val="Heading2"/>
      </w:pPr>
      <w:r>
        <w:rPr>
          <w:rFonts w:ascii="黑体" w:hAnsi="黑体" w:eastAsia="黑体"/>
        </w:rPr>
        <w:t xml:space="preserve">4. 核心类图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61132"/>
            <wp:effectExtent b="0" l="0" r="0" t="0"/>
            <wp:docPr descr="UML 核心类图" title="" id="1" name="Picture"/>
            <a:graphic>
              <a:graphicData uri="http://schemas.openxmlformats.org/drawingml/2006/picture">
                <pic:pic>
                  <pic:nvPicPr>
                    <pic:cNvPr descr="../assets/uml/class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核心类图</w:t>
      </w:r>
    </w:p>
    <w:p>
      <w:pPr>
        <w:pStyle w:val="BodyText"/>
      </w:pPr>
      <w:r>
        <w:rPr>
          <w:rFonts w:ascii="宋体" w:hAnsi="宋体" w:eastAsia="宋体"/>
        </w:rPr>
        <w:t xml:space="preserve">类图说明：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rFonts w:ascii="宋体" w:hAnsi="宋体" w:eastAsia="宋体"/>
        </w:rPr>
        <w:t xml:space="preserve">XJTULoader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PHM2012Loader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rFonts w:ascii="宋体" w:hAnsi="宋体" w:eastAsia="宋体"/>
        </w:rPr>
        <w:t xml:space="preserve">FeatureExtractor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rFonts w:ascii="宋体" w:hAnsi="宋体" w:eastAsia="宋体"/>
        </w:rPr>
        <w:t xml:space="preserve">FeatureSequenceRulLabeler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模型类只处理张量输入输出，训练、测试和指标计算由独立组件负责。</w:t>
      </w:r>
    </w:p>
    <w:bookmarkEnd w:id="27"/>
    <w:bookmarkStart w:id="29" w:name="rul-训练顺序图"/>
    <w:p>
      <w:pPr>
        <w:pStyle w:val="Heading2"/>
      </w:pPr>
      <w:r>
        <w:rPr>
          <w:rFonts w:ascii="黑体" w:hAnsi="黑体" w:eastAsia="黑体"/>
        </w:rPr>
        <w:t xml:space="preserve">5. RUL 训练顺序图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2854299"/>
            <wp:effectExtent b="0" l="0" r="0" t="0"/>
            <wp:docPr descr="UML 顺序图" title="" id="1" name="Picture"/>
            <a:graphic>
              <a:graphicData uri="http://schemas.openxmlformats.org/drawingml/2006/picture">
                <pic:pic>
                  <pic:nvPicPr>
                    <pic:cNvPr descr="../assets/uml/sequence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顺序图</w:t>
      </w:r>
    </w:p>
    <w:p>
      <w:pPr>
        <w:pStyle w:val="BodyText"/>
      </w:pPr>
      <w:r>
        <w:rPr>
          <w:rFonts w:ascii="宋体" w:hAnsi="宋体" w:eastAsia="宋体"/>
        </w:rPr>
        <w:t xml:space="preserve">顺序图说明：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训练过程必须输出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预测结果与指标分开保存，便于后续画图、复现实验和课程检查。</w:t>
      </w:r>
    </w:p>
    <w:bookmarkEnd w:id="29"/>
    <w:bookmarkStart w:id="31" w:name="组件图"/>
    <w:p>
      <w:pPr>
        <w:pStyle w:val="Heading2"/>
      </w:pPr>
      <w:r>
        <w:rPr>
          <w:rFonts w:ascii="黑体" w:hAnsi="黑体" w:eastAsia="黑体"/>
        </w:rPr>
        <w:t xml:space="preserve">6. 组件图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94268"/>
            <wp:effectExtent b="0" l="0" r="0" t="0"/>
            <wp:docPr descr="UML 组件图" title="" id="1" name="Picture"/>
            <a:graphic>
              <a:graphicData uri="http://schemas.openxmlformats.org/drawingml/2006/picture">
                <pic:pic>
                  <pic:nvPicPr>
                    <pic:cNvPr descr="../assets/uml/compon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组件图</w:t>
      </w:r>
    </w:p>
    <w:p>
      <w:pPr>
        <w:pStyle w:val="BodyText"/>
      </w:pPr>
      <w:r>
        <w:rPr>
          <w:rFonts w:ascii="宋体" w:hAnsi="宋体" w:eastAsia="宋体"/>
        </w:rPr>
        <w:t xml:space="preserve">组件图说明：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src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examples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tests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docx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负责课程交付和用户说明，文档结论应能追溯到示例、测试和输出文件。</w:t>
      </w:r>
    </w:p>
    <w:bookmarkEnd w:id="31"/>
    <w:bookmarkStart w:id="33" w:name="部署图"/>
    <w:p>
      <w:pPr>
        <w:pStyle w:val="Heading2"/>
      </w:pPr>
      <w:r>
        <w:rPr>
          <w:rFonts w:ascii="黑体" w:hAnsi="黑体" w:eastAsia="黑体"/>
        </w:rPr>
        <w:t xml:space="preserve">7. 部署图</w:t>
      </w:r>
    </w:p>
    <w:p>
      <w:pPr>
        <w:pStyle w:val="CaptionedFigure"/>
      </w:pPr>
      <w:r>
        <w:rPr>
          <w:rFonts w:ascii="宋体" w:hAnsi="宋体" w:eastAsia="宋体"/>
        </w:rPr>
        <w:drawing>
          <wp:inline>
            <wp:extent cx="5334000" cy="3094268"/>
            <wp:effectExtent b="0" l="0" r="0" t="0"/>
            <wp:docPr descr="UML 部署图" title="" id="1" name="Picture"/>
            <a:graphic>
              <a:graphicData uri="http://schemas.openxmlformats.org/drawingml/2006/picture">
                <pic:pic>
                  <pic:nvPicPr>
                    <pic:cNvPr descr="../assets/uml/deployment-diagr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</w:rPr>
        <w:t xml:space="preserve">UML 部署图</w:t>
      </w:r>
    </w:p>
    <w:p>
      <w:pPr>
        <w:pStyle w:val="BodyText"/>
      </w:pPr>
      <w:r>
        <w:rPr>
          <w:rFonts w:ascii="宋体" w:hAnsi="宋体" w:eastAsia="宋体"/>
        </w:rPr>
        <w:t xml:space="preserve">部署说明：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课程文档由 Markdown 源文件导出 PDF 和 DOCX，便于审阅和回溯。</w:t>
      </w:r>
    </w:p>
    <w:bookmarkEnd w:id="33"/>
    <w:bookmarkStart w:id="34" w:name="设计一致性说明"/>
    <w:p>
      <w:pPr>
        <w:pStyle w:val="Heading2"/>
      </w:pPr>
      <w:r>
        <w:rPr>
          <w:rFonts w:ascii="黑体" w:hAnsi="黑体" w:eastAsia="黑体"/>
        </w:rPr>
        <w:t xml:space="preserve">8. 设计一致性说明</w:t>
      </w:r>
    </w:p>
    <w:p>
      <w:pPr>
        <w:pStyle w:val="FirstParagraph"/>
      </w:pPr>
      <w:r>
        <w:rPr>
          <w:rFonts w:ascii="宋体" w:hAnsi="宋体" w:eastAsia="宋体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UML 元素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工程对应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XJTULoader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集成测试和确认测试报告</w:t>
            </w:r>
          </w:p>
        </w:tc>
      </w:tr>
    </w:tbl>
    <w:bookmarkEnd w:id="34"/>
    <w:bookmarkStart w:id="35" w:name="结论"/>
    <w:p>
      <w:pPr>
        <w:pStyle w:val="Heading2"/>
      </w:pPr>
      <w:r>
        <w:rPr>
          <w:rFonts w:ascii="黑体" w:hAnsi="黑体" w:eastAsia="黑体"/>
        </w:rPr>
        <w:t xml:space="preserve">9. 结论</w:t>
      </w:r>
    </w:p>
    <w:p>
      <w:pPr>
        <w:pStyle w:val="FirstParagraph"/>
      </w:pPr>
      <w:r>
        <w:rPr>
          <w:rFonts w:ascii="宋体" w:hAnsi="宋体" w:eastAsia="宋体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5"/>
    <w:bookmarkEnd w:id="36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2" Type="http://schemas.openxmlformats.org/officeDocument/2006/relationships/image" Target="media/rId32.png"/><Relationship Id="rId28" Type="http://schemas.openxmlformats.org/officeDocument/2006/relationships/image" Target="media/rId28.png"/><Relationship Id="rId24" Type="http://schemas.openxmlformats.org/officeDocument/2006/relationships/image" Target="media/rId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2026-06-14T11:03:59Z</dcterms:created>
  <dcterms:modified xsi:type="dcterms:W3CDTF">2026-06-14T11:03:59Z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