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工业轴承设备剩余寿命预测系统的实现用户使用手册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工业轴承设备剩余寿命预测系统的实现：用户使用手册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用户使用手册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SE-PHM-FINAL-16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运行流程、notebook、API、输出文件和注意事项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适用对象"/>
    <w:p>
      <w:pPr>
        <w:pStyle w:val="Heading2"/>
      </w:pPr>
      <w:r>
        <w:rPr>
          <w:rFonts w:ascii="宋体" w:hAnsi="宋体" w:eastAsia="宋体"/>
          <w:color w:val="000000"/>
        </w:rPr>
        <w:t xml:space="preserve">1. 适用对象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本文档面向课程答辩人员、实验使用者和后续维护者，说明如何运行系统、执行示例、复现论文实验和查看输出结果。</w:t>
      </w:r>
    </w:p>
    <w:bookmarkEnd w:id="22"/>
    <w:bookmarkStart w:id="23" w:name="基本使用流程"/>
    <w:p>
      <w:pPr>
        <w:pStyle w:val="Heading2"/>
      </w:pPr>
      <w:r>
        <w:rPr>
          <w:rFonts w:ascii="宋体" w:hAnsi="宋体" w:eastAsia="宋体"/>
          <w:color w:val="000000"/>
        </w:rPr>
        <w:t xml:space="preserve">2. 基本使用流程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安装环境 -&gt; 准备数据 -&gt; 选择 notebook 或 API -&gt; 训练模型 -&gt; 查看指标和结果文件</w:t>
      </w:r>
    </w:p>
    <w:bookmarkEnd w:id="23"/>
    <w:bookmarkStart w:id="24" w:name="运行-notebook-示例"/>
    <w:p>
      <w:pPr>
        <w:pStyle w:val="Heading2"/>
      </w:pPr>
      <w:r>
        <w:rPr>
          <w:rFonts w:ascii="宋体" w:hAnsi="宋体" w:eastAsia="宋体"/>
          <w:color w:val="000000"/>
        </w:rPr>
        <w:t xml:space="preserve">3. 运行 notebook 示例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项目所有示例均位于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examples/</w:t>
      </w:r>
      <w:r>
        <w:rPr>
          <w:rFonts w:ascii="宋体" w:hAnsi="宋体" w:eastAsia="宋体"/>
          <w:color w:val="000000"/>
        </w:rPr>
        <w:t xml:space="preserve">，且均为 notebook：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Notebook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00_generate_demo_datasets.ipynb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生成 XJTU-SY 和 PHM2012 demo 数据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01_xjtu_loader_overview.ipynb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查看 XJTU-SY loader 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02_phm2012_loader_overview.ipynb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查看 PHM2012 loader 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03_xjtu_cnn_rul_training.ipynb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 CNN 训练 XJTU-SY RUL 示例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04_phm2012_mlp_feature_training.ipynb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使用 MLP 训练 PHM2012 特征示例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05_cross_dataset_feature_export.ipynb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导出两个数据集的特征表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06_paper_cnn_lstm_attention_rul.ipynb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 论文复现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07_paper_xlstm_transformer_rul.ipynb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 论文复现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运行方式：</w:t>
      </w:r>
    </w:p>
    <w:p>
      <w:pPr>
        <w:pStyle w:val="SourceCode"/>
      </w:pP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jupyter lab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如未安装 Jupyter，也可通过 pytest 执行 notebook 中的代码单元：</w:t>
      </w:r>
    </w:p>
    <w:p>
      <w:pPr>
        <w:pStyle w:val="SourceCode"/>
      </w:pP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1 </w:t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</w:t>
      </w:r>
      <w:r>
        <w:rPr>
          <w:rStyle w:val="AttributeTok"/>
          <w:rFonts w:ascii="宋体" w:hAnsi="宋体" w:eastAsia="宋体"/>
          <w:color w:val="000000"/>
        </w:rPr>
        <w:t xml:space="preserve">--extra</w:t>
      </w:r>
      <w:r>
        <w:rPr>
          <w:rStyle w:val="NormalTok"/>
          <w:rFonts w:ascii="宋体" w:hAnsi="宋体" w:eastAsia="宋体"/>
          <w:color w:val="000000"/>
        </w:rPr>
        <w:t xml:space="preserve"> dev pytest tests/test_examples_notebooks.py </w:t>
      </w:r>
      <w:r>
        <w:rPr>
          <w:rStyle w:val="AttributeTok"/>
          <w:rFonts w:ascii="宋体" w:hAnsi="宋体" w:eastAsia="宋体"/>
          <w:color w:val="000000"/>
        </w:rPr>
        <w:t xml:space="preserve">-q</w:t>
      </w:r>
    </w:p>
    <w:bookmarkEnd w:id="24"/>
    <w:bookmarkStart w:id="25" w:name="使用-python-api"/>
    <w:p>
      <w:pPr>
        <w:pStyle w:val="Heading2"/>
      </w:pPr>
      <w:r>
        <w:rPr>
          <w:rFonts w:ascii="宋体" w:hAnsi="宋体" w:eastAsia="宋体"/>
          <w:color w:val="000000"/>
        </w:rPr>
        <w:t xml:space="preserve">4. 使用 Python API</w:t>
      </w:r>
    </w:p>
    <w:p>
      <w:pPr>
        <w:pStyle w:val="SourceCode"/>
      </w:pPr>
      <w:r>
        <w:rPr>
          <w:rStyle w:val="ImportTok"/>
          <w:rFonts w:ascii="宋体" w:hAnsi="宋体" w:eastAsia="宋体"/>
          <w:color w:val="000000"/>
        </w:rPr>
        <w:t xml:space="preserve">from</w:t>
      </w:r>
      <w:r>
        <w:rPr>
          <w:rStyle w:val="NormalTok"/>
          <w:rFonts w:ascii="宋体" w:hAnsi="宋体" w:eastAsia="宋体"/>
          <w:color w:val="000000"/>
        </w:rPr>
        <w:t xml:space="preserve"> USTC.SSE.BearingPrediction.api </w:t>
      </w:r>
      <w:r>
        <w:rPr>
          <w:rStyle w:val="ImportTok"/>
          <w:rFonts w:ascii="宋体" w:hAnsi="宋体" w:eastAsia="宋体"/>
          <w:color w:val="000000"/>
        </w:rPr>
        <w:t xml:space="preserve">import</w:t>
      </w:r>
      <w:r>
        <w:rPr>
          <w:rStyle w:val="NormalTok"/>
          <w:rFonts w:ascii="宋体" w:hAnsi="宋体" w:eastAsia="宋体"/>
          <w:color w:val="000000"/>
        </w:rPr>
        <w:t xml:space="preserve"> (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XJTULoader,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BearingRulLabeler,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CNN,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BaseTrainer,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BaseTester,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Evaluator,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RMSE,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NormalizedRMSE,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    HuangRulScore,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loader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XJTULoader(</w:t>
      </w:r>
      <w:r>
        <w:rPr>
          <w:rStyle w:val="StringTok"/>
          <w:rFonts w:ascii="宋体" w:hAnsi="宋体" w:eastAsia="宋体"/>
          <w:color w:val="000000"/>
        </w:rPr>
        <w:t xml:space="preserve">"data/external/xjtu/extracted/XJTU-SY_Bearing_Datasets"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bearing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loader.load_entity(</w:t>
      </w:r>
      <w:r>
        <w:rPr>
          <w:rStyle w:val="StringTok"/>
          <w:rFonts w:ascii="宋体" w:hAnsi="宋体" w:eastAsia="宋体"/>
          <w:color w:val="000000"/>
        </w:rPr>
        <w:t xml:space="preserve">"Bearing1_1"</w:t>
      </w:r>
      <w:r>
        <w:rPr>
          <w:rStyle w:val="NormalTok"/>
          <w:rFonts w:ascii="宋体" w:hAnsi="宋体" w:eastAsia="宋体"/>
          <w:color w:val="000000"/>
        </w:rPr>
        <w:t xml:space="preserve">, max_samples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48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dataset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BearingRulLabeler(window_size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1024</w:t>
      </w:r>
      <w:r>
        <w:rPr>
          <w:rStyle w:val="NormalTok"/>
          <w:rFonts w:ascii="宋体" w:hAnsi="宋体" w:eastAsia="宋体"/>
          <w:color w:val="000000"/>
        </w:rPr>
        <w:t xml:space="preserve">, stride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1024</w:t>
      </w:r>
      <w:r>
        <w:rPr>
          <w:rStyle w:val="NormalTok"/>
          <w:rFonts w:ascii="宋体" w:hAnsi="宋体" w:eastAsia="宋体"/>
          <w:color w:val="000000"/>
        </w:rPr>
        <w:t xml:space="preserve">).label(bearing, </w:t>
      </w:r>
      <w:r>
        <w:rPr>
          <w:rStyle w:val="StringTok"/>
          <w:rFonts w:ascii="宋体" w:hAnsi="宋体" w:eastAsia="宋体"/>
          <w:color w:val="000000"/>
        </w:rPr>
        <w:t xml:space="preserve">"Horizontal Vibration"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train_set, test_set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dataset.split_by_ratio(</w:t>
      </w:r>
      <w:r>
        <w:rPr>
          <w:rStyle w:val="FloatTok"/>
          <w:rFonts w:ascii="宋体" w:hAnsi="宋体" w:eastAsia="宋体"/>
          <w:color w:val="000000"/>
        </w:rPr>
        <w:t xml:space="preserve">0.75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model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CNN(input_size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1024</w:t>
      </w:r>
      <w:r>
        <w:rPr>
          <w:rStyle w:val="NormalTok"/>
          <w:rFonts w:ascii="宋体" w:hAnsi="宋体" w:eastAsia="宋体"/>
          <w:color w:val="000000"/>
        </w:rPr>
        <w:t xml:space="preserve">, output_size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1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trainer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BaseTrainer(max_epochs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8</w:t>
      </w:r>
      <w:r>
        <w:rPr>
          <w:rStyle w:val="NormalTok"/>
          <w:rFonts w:ascii="宋体" w:hAnsi="宋体" w:eastAsia="宋体"/>
          <w:color w:val="000000"/>
        </w:rPr>
        <w:t xml:space="preserve">, batch_size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4</w:t>
      </w:r>
      <w:r>
        <w:rPr>
          <w:rStyle w:val="NormalTok"/>
          <w:rFonts w:ascii="宋体" w:hAnsi="宋体" w:eastAsia="宋体"/>
          <w:color w:val="000000"/>
        </w:rPr>
        <w:t xml:space="preserve">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trainer.train(model, train_set, test_set)</w:t>
      </w:r>
      <w:r>
        <w:rPr>
          <w:rFonts w:ascii="宋体" w:hAnsi="宋体" w:eastAsia="宋体"/>
          <w:color w:val="000000"/>
        </w:rPr>
        <w:br/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result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BaseTester(batch_size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DecValTok"/>
          <w:rFonts w:ascii="宋体" w:hAnsi="宋体" w:eastAsia="宋体"/>
          <w:color w:val="000000"/>
        </w:rPr>
        <w:t xml:space="preserve">4</w:t>
      </w:r>
      <w:r>
        <w:rPr>
          <w:rStyle w:val="NormalTok"/>
          <w:rFonts w:ascii="宋体" w:hAnsi="宋体" w:eastAsia="宋体"/>
          <w:color w:val="000000"/>
        </w:rPr>
        <w:t xml:space="preserve">).test(model, test_set)</w:t>
      </w:r>
      <w:r>
        <w:rPr>
          <w:rFonts w:ascii="宋体" w:hAnsi="宋体" w:eastAsia="宋体"/>
          <w:color w:val="000000"/>
        </w:rPr>
        <w:br/>
      </w:r>
      <w:r>
        <w:rPr>
          <w:rStyle w:val="NormalTok"/>
          <w:rFonts w:ascii="宋体" w:hAnsi="宋体" w:eastAsia="宋体"/>
          <w:color w:val="000000"/>
        </w:rPr>
        <w:t xml:space="preserve">metrics 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 Evaluator().add(RMSE(), NormalizedRMSE(), HuangRulScore()).evaluate(result.targets, result.predictions)</w:t>
      </w:r>
      <w:r>
        <w:rPr>
          <w:rFonts w:ascii="宋体" w:hAnsi="宋体" w:eastAsia="宋体"/>
          <w:color w:val="000000"/>
        </w:rPr>
        <w:br/>
      </w:r>
      <w:r>
        <w:rPr>
          <w:rStyle w:val="BuiltInTok"/>
          <w:rFonts w:ascii="宋体" w:hAnsi="宋体" w:eastAsia="宋体"/>
          <w:color w:val="000000"/>
        </w:rPr>
        <w:t xml:space="preserve">print</w:t>
      </w:r>
      <w:r>
        <w:rPr>
          <w:rStyle w:val="NormalTok"/>
          <w:rFonts w:ascii="宋体" w:hAnsi="宋体" w:eastAsia="宋体"/>
          <w:color w:val="000000"/>
        </w:rPr>
        <w:t xml:space="preserve">(metrics)</w:t>
      </w:r>
    </w:p>
    <w:bookmarkEnd w:id="25"/>
    <w:bookmarkStart w:id="27" w:name="查看输出"/>
    <w:p>
      <w:pPr>
        <w:pStyle w:val="Heading2"/>
      </w:pPr>
      <w:r>
        <w:rPr>
          <w:rFonts w:ascii="宋体" w:hAnsi="宋体" w:eastAsia="宋体"/>
          <w:color w:val="000000"/>
        </w:rPr>
        <w:t xml:space="preserve">5. 查看输出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默认输出位于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outputs/examples/</w:t>
      </w:r>
      <w:r>
        <w:rPr>
          <w:rFonts w:ascii="宋体" w:hAnsi="宋体" w:eastAsia="宋体"/>
          <w:color w:val="000000"/>
        </w:rPr>
        <w:t xml:space="preserve">。真实验收建议使用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隔离：</w:t>
      </w:r>
    </w:p>
    <w:p>
      <w:pPr>
        <w:pStyle w:val="SourceCode"/>
      </w:pPr>
      <w:r>
        <w:rPr>
          <w:rStyle w:val="VariableTok"/>
          <w:rFonts w:ascii="宋体" w:hAnsi="宋体" w:eastAsia="宋体"/>
          <w:color w:val="000000"/>
        </w:rPr>
        <w:t xml:space="preserve">BEARING_EXAMPLE_OUTPUT_ROOT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tmp/my_run </w:t>
      </w:r>
      <w:r>
        <w:rPr>
          <w:rStyle w:val="VariableTok"/>
          <w:rFonts w:ascii="宋体" w:hAnsi="宋体" w:eastAsia="宋体"/>
          <w:color w:val="000000"/>
        </w:rPr>
        <w:t xml:space="preserve">BEARING_EXAMPLE_EPOCHS</w:t>
      </w:r>
      <w:r>
        <w:rPr>
          <w:rStyle w:val="OperatorTok"/>
          <w:rFonts w:ascii="宋体" w:hAnsi="宋体" w:eastAsia="宋体"/>
          <w:color w:val="000000"/>
        </w:rPr>
        <w:t xml:space="preserve">=</w:t>
      </w:r>
      <w:r>
        <w:rPr>
          <w:rStyle w:val="NormalTok"/>
          <w:rFonts w:ascii="宋体" w:hAnsi="宋体" w:eastAsia="宋体"/>
          <w:color w:val="000000"/>
        </w:rPr>
        <w:t xml:space="preserve">8 </w:t>
      </w:r>
      <w:r>
        <w:rPr>
          <w:rStyle w:val="ExtensionTok"/>
          <w:rFonts w:ascii="宋体" w:hAnsi="宋体" w:eastAsia="宋体"/>
          <w:color w:val="000000"/>
        </w:rPr>
        <w:t xml:space="preserve">uv</w:t>
      </w:r>
      <w:r>
        <w:rPr>
          <w:rStyle w:val="NormalTok"/>
          <w:rFonts w:ascii="宋体" w:hAnsi="宋体" w:eastAsia="宋体"/>
          <w:color w:val="000000"/>
        </w:rPr>
        <w:t xml:space="preserve"> run python my_script.py</w:t>
      </w:r>
    </w:p>
    <w:bookmarkStart w:id="26" w:name="常见输出文件说明"/>
    <w:p>
      <w:pPr>
        <w:pStyle w:val="Heading3"/>
      </w:pPr>
      <w:r>
        <w:rPr>
          <w:rFonts w:ascii="宋体" w:hAnsi="宋体" w:eastAsia="宋体"/>
          <w:color w:val="000000"/>
        </w:rPr>
        <w:t xml:space="preserve">5.1 常见输出文件说明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文件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含义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建议查看方式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history.csv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 epoch 的训练/验证损失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检查训练是否真实执行、是否出现异常震荡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metrics.json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单次评估指标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查看 RMSE、MAE、R2、Score 等摘要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predictions.csv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每个样本的真实 RUL 和预测 RUL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绘制预测曲线或误差分布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Style w:val="VerbatimChar"/>
                <w:rFonts w:ascii="宋体" w:hAnsi="宋体" w:eastAsia="宋体"/>
                <w:color w:val="000000"/>
                <w:sz w:val="21"/>
              </w:rPr>
              <w:t xml:space="preserve">comparison_metrics.csv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论文复现模型对比结果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比较 baseline 与改进模型的指标变化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特征导出 CSV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每个快照或窗口的特征值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分析 RMS、峭度、谱能量等趋势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初学者建议先运行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00_generate_demo_datasets.ipynb</w:t>
      </w:r>
      <w:r>
        <w:rPr>
          <w:rFonts w:ascii="宋体" w:hAnsi="宋体" w:eastAsia="宋体"/>
          <w:color w:val="000000"/>
        </w:rPr>
        <w:t xml:space="preserve">，再运行两个 loader overview notebook，确认数据结构后再进入训练 notebook。</w:t>
      </w:r>
    </w:p>
    <w:bookmarkEnd w:id="26"/>
    <w:bookmarkEnd w:id="27"/>
    <w:bookmarkStart w:id="28" w:name="注意事项"/>
    <w:p>
      <w:pPr>
        <w:pStyle w:val="Heading2"/>
      </w:pPr>
      <w:r>
        <w:rPr>
          <w:rFonts w:ascii="宋体" w:hAnsi="宋体" w:eastAsia="宋体"/>
          <w:color w:val="000000"/>
        </w:rPr>
        <w:t xml:space="preserve">6. 注意事项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tmp/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outputs/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和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data/external/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不应提交到仓库。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notebook 默认以小样本保证可运行；论文级完整数值复现需要更大样本、更长 epoch 和多随机种子。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本项目主线是 RUL 预测和预测性维护，不以离散故障识别作为结题重点。</w:t>
      </w:r>
    </w:p>
    <w:bookmarkEnd w:id="28"/>
    <w:bookmarkEnd w:id="29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16_用户使用手册</dc:title>
  <dc:creator>zyj、cyy、zdh、zy</dc:creator>
  <cp:keywords>RUL, 预测性维护, 工业轴承, 软件工程</cp:keywords>
  <dcterms:created xsi:type="dcterms:W3CDTF">2026-06-14T16:34:20Z</dcterms:created>
  <dcterms:modified xsi:type="dcterms:W3CDTF">2026-06-14T16:34:20Z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