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第一篇论文复现入口是 CNN-LSTM-AM：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tmp/paper_repro_real_metrics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run_paper_cnn_lstm_attention_reproduction; run_paper_cnn_lstm_attention_reproduction(prefer_real_data=True)"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第二篇论文复现入口是 xLSTM-Transformer：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BEARING_EXAMPLE_OUTPUT_ROOT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tmp/paper_repro_xlstm_transformer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8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</w:t>
      </w:r>
      <w:r>
        <w:rPr>
          <w:rStyle w:val="AttributeTok"/>
          <w:rFonts w:ascii="宋体" w:hAnsi="宋体" w:eastAsia="宋体"/>
          <w:color w:val="000000"/>
        </w:rPr>
        <w:t xml:space="preserve">-c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StringTok"/>
          <w:rFonts w:ascii="宋体" w:hAnsi="宋体" w:eastAsia="宋体"/>
          <w:color w:val="000000"/>
        </w:rPr>
        <w:t xml:space="preserve">"from USTC.SSE.BearingPrediction.examples import run_paper_xlstm_transformer_reproduction; run_paper_xlstm_transformer_reproduction(prefer_real_data=True)"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这两条命令要求本地能读取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下，不提交到仓库；提交包中只保留复现实验的指标摘要、命令和文档说明。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小样本、短训练下模型弱于均值基线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2026-06-14T16:35:00Z</dcterms:created>
  <dcterms:modified xsi:type="dcterms:W3CDTF">2026-06-14T16:35:00Z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