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验证证据与追踪矩阵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工业轴承设备剩余寿命预测系统的实现：验证证据与追踪矩阵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验证证据与追踪矩阵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需求追踪、源码依据、测试证据、交付一致性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新增结题阶段验证证据与追踪矩阵</w:t>
            </w:r>
          </w:p>
        </w:tc>
      </w:tr>
    </w:tbl>
    <w:bookmarkEnd w:id="21"/>
    <w:bookmarkStart w:id="22" w:name="验证思路"/>
    <w:p>
      <w:pPr>
        <w:pStyle w:val="Heading2"/>
      </w:pPr>
      <w:r>
        <w:rPr>
          <w:rFonts w:ascii="宋体" w:hAnsi="宋体" w:eastAsia="宋体"/>
          <w:color w:val="000000"/>
        </w:rPr>
        <w:t xml:space="preserve">1. 验证思路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本项目的验收重点是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每个关键主张都有证据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。证据可以来自源码、测试、notebook、输出文件、图表或课程文档。单独说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系统实现了某功能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不够，需要说明功能位于哪个模块、由哪个测试覆盖、最终输出如何被检查。</w:t>
      </w:r>
    </w:p>
    <w:bookmarkEnd w:id="22"/>
    <w:bookmarkStart w:id="23" w:name="功能追踪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功能追踪矩阵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需求/主张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测试或输出证据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文档/PPT 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、数据图页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温度通道和时间语义测试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、数据图页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统一数据实体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data/entities.py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解析与 dataset split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本分册、设计文档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特征工程页、模型设计说明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数据语义分册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test_training_pipeline_records_experiment_artifacts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端到端手册、测试报告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training/tester.py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attention/prediction 收集测试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scripts/export_course_docs.sh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导出后的 DOCX/PDF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docs/FINAL_DELIVERABLE_CHECKLIST.md</w:t>
            </w:r>
          </w:p>
        </w:tc>
      </w:tr>
    </w:tbl>
    <w:bookmarkEnd w:id="23"/>
    <w:bookmarkStart w:id="24" w:name="测试层次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测试层次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覆盖范围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特征、指标、labeler、loader 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test_rul_metrics.py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→ labeler → model → trainer →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两篇复现流程、指标列和输出结构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test_paper_cnn_lstm_attention.py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可执行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test_examples_notebooks.py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文档/交付测试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文档与脚本交付完整性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交付清单和导出脚本</w:t>
            </w:r>
          </w:p>
        </w:tc>
      </w:tr>
    </w:tbl>
    <w:bookmarkEnd w:id="24"/>
    <w:bookmarkStart w:id="25" w:name="真实训练证据"/>
    <w:p>
      <w:pPr>
        <w:pStyle w:val="Heading2"/>
      </w:pPr>
      <w:r>
        <w:rPr>
          <w:rFonts w:ascii="宋体" w:hAnsi="宋体" w:eastAsia="宋体"/>
          <w:color w:val="000000"/>
        </w:rPr>
        <w:t xml:space="preserve">4. 真实训练证据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，不提交仓库。正式文档记录摘要和命令。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复现实验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XJTU-SY、PHM2012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两个数据集、attention 与 baseline、Huang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三工况、PHM2012 三工况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六个工况、三类模型、RMSE/R2/Score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验收时不只看最终指标，还要检查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 epoch 行数和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的样本行数。</w:t>
      </w:r>
    </w:p>
    <w:bookmarkEnd w:id="25"/>
    <w:bookmarkStart w:id="26" w:name="设计图证据"/>
    <w:p>
      <w:pPr>
        <w:pStyle w:val="Heading2"/>
      </w:pPr>
      <w:r>
        <w:rPr>
          <w:rFonts w:ascii="宋体" w:hAnsi="宋体" w:eastAsia="宋体"/>
          <w:color w:val="000000"/>
        </w:rPr>
        <w:t xml:space="preserve">5. 设计图证据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项目补充的设计图包括：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图表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 RUL 预测流程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end-to-end-rul-architecture.png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说明数据到预测输出的主链路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训练输出证据链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training-evidence-chain.png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说明训练、预测和指标文件之间的关系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指标口径图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rul-metric-taxonomy.png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区分普通误差、论文 Score、惩罚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多轴承特征摘要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multi-bearing-feature-summary.png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展示真实数据的多轴承特征规律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docx/mid-term/assets/uml/class-diagram.png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显示 loader、特征、标签、模型、训练、评价的类关系</w:t>
            </w:r>
          </w:p>
        </w:tc>
      </w:tr>
    </w:tbl>
    <w:bookmarkEnd w:id="26"/>
    <w:bookmarkStart w:id="27" w:name="文档一致性要求"/>
    <w:p>
      <w:pPr>
        <w:pStyle w:val="Heading2"/>
      </w:pPr>
      <w:r>
        <w:rPr>
          <w:rFonts w:ascii="宋体" w:hAnsi="宋体" w:eastAsia="宋体"/>
          <w:color w:val="000000"/>
        </w:rPr>
        <w:t xml:space="preserve">6. 文档一致性要求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所有正式材料必须保持以下一致：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主任务统一为 RUL 剩余寿命预测。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不把离散状态识别作为主线任务。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论文复现统一表述为结构和工程 workflow 复现。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PPT、结题报告、技术论文、复现说明中的核心指标数字一致。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生存分析和失效概率统一表述为扩展接口，不作为结题主验收路线。</w:t>
      </w:r>
    </w:p>
    <w:bookmarkEnd w:id="27"/>
    <w:bookmarkStart w:id="28" w:name="最终验收命令"/>
    <w:p>
      <w:pPr>
        <w:pStyle w:val="Heading2"/>
      </w:pPr>
      <w:r>
        <w:rPr>
          <w:rFonts w:ascii="宋体" w:hAnsi="宋体" w:eastAsia="宋体"/>
          <w:color w:val="000000"/>
        </w:rPr>
        <w:t xml:space="preserve">7. 最终验收命令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建议结题前执行：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执行后应检查：测试是否通过，文档是否导出，PPT 是否生成，核心指标数字是否与复现文档一致。</w:t>
      </w:r>
    </w:p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26_验证证据与追踪矩阵</dc:title>
  <dc:creator>zyj、cyy、zdh、zy</dc:creator>
  <cp:keywords>RUL, 预测性维护, 工业轴承, 软件工程</cp:keywords>
  <dcterms:created xsi:type="dcterms:W3CDTF">2026-06-14T16:35:09Z</dcterms:created>
  <dcterms:modified xsi:type="dcterms:W3CDTF">2026-06-14T16:35:09Z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