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目录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6" w:name="工业轴承设备剩余寿命预测系统的实现设计文档"/>
    <w:p>
      <w:pPr>
        <w:pStyle w:val="Heading1"/>
        <w:jc w:val="center"/>
      </w:pPr>
      <w:r>
        <w:rPr>
          <w:rFonts w:ascii="宋体" w:hAnsi="宋体" w:eastAsia="宋体"/>
          <w:b/>
          <w:color w:val="000000"/>
          <w:sz w:val="48"/>
        </w:rPr>
        <w:t xml:space="preserve">工业轴承设备剩余寿命预测系统的实现：设计文档</w:t>
      </w:r>
    </w:p>
    <w:bookmarkStart w:id="20" w:name="文档信息"/>
    <w:p>
      <w:pPr>
        <w:pStyle w:val="Heading2"/>
      </w:pPr>
      <w:r>
        <w:rPr>
          <w:rFonts w:ascii="宋体" w:hAnsi="宋体" w:eastAsia="宋体"/>
          <w:color w:val="000000"/>
        </w:rPr>
        <w:t xml:space="preserve">文档信息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项目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设计文档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文档编号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SE-PHM-MID-06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文档阶段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中期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项目名称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工业轴承设备剩余寿命预测系统的实现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课程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中国科学技术大学软件学院《软件工程》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指导老师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zjf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小组成员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zyj、cyy、zdh、zy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文档负责人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zyj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参与编写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cyy、zdh、zy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版本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修订日期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归档形式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Markdown 源文件、PDF、DOCX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内容基线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总体架构、模块设计、接口设计、数据流和部署设计</w:t>
            </w:r>
          </w:p>
        </w:tc>
      </w:tr>
    </w:tbl>
    <w:bookmarkEnd w:id="20"/>
    <w:bookmarkStart w:id="21" w:name="修订记录"/>
    <w:p>
      <w:pPr>
        <w:pStyle w:val="Heading2"/>
      </w:pPr>
      <w:r>
        <w:rPr>
          <w:rFonts w:ascii="宋体" w:hAnsi="宋体" w:eastAsia="宋体"/>
          <w:color w:val="000000"/>
        </w:rPr>
        <w:t xml:space="preserve">修订记录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版本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日期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编写人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V1.0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2025-11-10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完成初版课程文档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V2.0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2026-03-12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统一项目名称、技术基线和阶段交付内容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V3.0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2026-06-14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项目组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参考课程交付样例统一封面与归档格式，补充数据理解、技术难点、测试验收和 DOCX 交付信息</w:t>
            </w:r>
          </w:p>
        </w:tc>
      </w:tr>
    </w:tbl>
    <w:bookmarkEnd w:id="21"/>
    <w:bookmarkStart w:id="22" w:name="系统设计目标"/>
    <w:p>
      <w:pPr>
        <w:pStyle w:val="Heading2"/>
      </w:pPr>
      <w:r>
        <w:rPr>
          <w:rFonts w:ascii="宋体" w:hAnsi="宋体" w:eastAsia="宋体"/>
          <w:color w:val="000000"/>
        </w:rPr>
        <w:t xml:space="preserve">1. 系统设计目标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设计目标不是实现单一模型，而是构建一套结构清晰、职责明确、便于扩展的工业轴承设备剩余寿命预测框架。具体目标如下：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屏蔽不同官方数据集的目录差异，提供统一数据抽象。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将预处理、标签构造、训练、预测、评估和展示解耦。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允许新模型或新算法在不破坏主流程的情况下接入。</w:t>
      </w:r>
    </w:p>
    <w:p>
      <w:pPr>
        <w:numPr>
          <w:ilvl w:val="0"/>
          <w:numId w:val="100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支持实验记录、训练监控和结果导出。</w:t>
      </w:r>
    </w:p>
    <w:bookmarkEnd w:id="22"/>
    <w:bookmarkStart w:id="24" w:name="总体架构设计"/>
    <w:p>
      <w:pPr>
        <w:pStyle w:val="Heading2"/>
      </w:pPr>
      <w:r>
        <w:rPr>
          <w:rFonts w:ascii="宋体" w:hAnsi="宋体" w:eastAsia="宋体"/>
          <w:color w:val="000000"/>
        </w:rPr>
        <w:t xml:space="preserve">2. 总体架构设计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系统采用自底向上的分层架构：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数据接入层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└─ XJTULoader / PHM2012Loader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数据抽象层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└─ BearingEntity / BearingWindowDataset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预处理与特征工程层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└─ SignalProcessor / FeatureExtractor / Pipeline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退化分析与标签构造层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└─ RUL Labeler / Stage Labeler / HI Labeler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模型训练与预测层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└─ Models / Trainer / Tester / Predictor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评估与展示层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└─ Metrics / Evaluator / Visualizer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实验管理层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└─ Tracker / Callback / Serializer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该架构的优点在于数据、算法和展示可以独立演化，同时保证主流程仍然稳定。</w:t>
      </w:r>
    </w:p>
    <w:bookmarkStart w:id="23" w:name="总体架构说明"/>
    <w:p>
      <w:pPr>
        <w:pStyle w:val="Heading3"/>
      </w:pPr>
      <w:r>
        <w:rPr>
          <w:rFonts w:ascii="宋体" w:hAnsi="宋体" w:eastAsia="宋体"/>
          <w:color w:val="000000"/>
        </w:rPr>
        <w:t xml:space="preserve">2.1 总体架构说明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系统总体架构围绕 RUL 预测数据流组织，而不是围绕某一个模型组织。设计上分为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数据接入、特征标签、模型训练、评价展示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四个主层：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层次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输入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输出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主要设计原则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数据接入层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官方数据目录、示例数据目录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统一轴承实体、通道数据、元数据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数据集差异只在 loader 内处理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特征标签层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振动快照、采样率、寿命终点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19 维特征、特征序列、RUL 标签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特征有物理含义，标签单位可追溯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模型训练层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特征序列、标签、训练配置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模型参数、history、预测结果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训练、测试、记录职责分离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评价展示层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target、prediction、训练日志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指标表、曲线图、notebook、报告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指标区分普通误差、论文 score 和方向偏差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这种结构的关键好处是：如果后续增加新数据集，只需要新增 loader；如果增加新模型，只需要遵循训练输入输出约定；如果更新指标，不影响数据和模型代码。</w:t>
      </w:r>
    </w:p>
    <w:bookmarkEnd w:id="23"/>
    <w:bookmarkEnd w:id="24"/>
    <w:bookmarkStart w:id="30" w:name="功能模块设计"/>
    <w:p>
      <w:pPr>
        <w:pStyle w:val="Heading2"/>
      </w:pPr>
      <w:r>
        <w:rPr>
          <w:rFonts w:ascii="宋体" w:hAnsi="宋体" w:eastAsia="宋体"/>
          <w:color w:val="000000"/>
        </w:rPr>
        <w:t xml:space="preserve">3. 功能模块设计</w:t>
      </w:r>
    </w:p>
    <w:bookmarkStart w:id="25" w:name="m1-数据接入与管理模块"/>
    <w:p>
      <w:pPr>
        <w:pStyle w:val="Heading3"/>
      </w:pPr>
      <w:r>
        <w:rPr>
          <w:rFonts w:ascii="宋体" w:hAnsi="宋体" w:eastAsia="宋体"/>
          <w:color w:val="000000"/>
        </w:rPr>
        <w:t xml:space="preserve">3.1 M1 数据接入与管理模块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该模块负责将不同数据集目录组织映射为统一实体对象。设计要点如下：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通过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BaseBearingLoader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定义统一接口。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具体 loader 负责识别目录、解析文件和补充元数据。</w:t>
      </w:r>
    </w:p>
    <w:p>
      <w:pPr>
        <w:numPr>
          <w:ilvl w:val="0"/>
          <w:numId w:val="1002"/>
        </w:numPr>
        <w:pStyle w:val="Compact"/>
        <w:spacing w:line="276" w:lineRule="auto" w:after="0"/>
        <w:ind w:firstLine="420"/>
      </w:pP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作为统一的数据实体，保存样本、采样率、通道和元信息。</w:t>
      </w:r>
    </w:p>
    <w:bookmarkEnd w:id="25"/>
    <w:bookmarkStart w:id="26" w:name="m2-预处理与特征工程模块"/>
    <w:p>
      <w:pPr>
        <w:pStyle w:val="Heading3"/>
      </w:pPr>
      <w:r>
        <w:rPr>
          <w:rFonts w:ascii="宋体" w:hAnsi="宋体" w:eastAsia="宋体"/>
          <w:color w:val="000000"/>
        </w:rPr>
        <w:t xml:space="preserve">3.2 M2 预处理与特征工程模块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该模块负责将原始信号转换为可训练输入。设计要点如下：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使用滑动窗口将长序列切分为样本窗口。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支持归一化、标准化等基础变换。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支持时域和频域特征提取。</w:t>
      </w:r>
    </w:p>
    <w:p>
      <w:pPr>
        <w:numPr>
          <w:ilvl w:val="0"/>
          <w:numId w:val="100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预处理管道可按步骤组合，避免固定死流程。</w:t>
      </w:r>
    </w:p>
    <w:bookmarkEnd w:id="26"/>
    <w:bookmarkStart w:id="27" w:name="m3-退化阶段划分与标签构造模块"/>
    <w:p>
      <w:pPr>
        <w:pStyle w:val="Heading3"/>
      </w:pPr>
      <w:r>
        <w:rPr>
          <w:rFonts w:ascii="宋体" w:hAnsi="宋体" w:eastAsia="宋体"/>
          <w:color w:val="000000"/>
        </w:rPr>
        <w:t xml:space="preserve">3.3 M3 退化阶段划分与标签构造模块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该模块负责为不同任务生成目标值。设计要点如下：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RUL 标签构造面向回归任务。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3sigma 和 FPT 面向退化阶段辅助分析任务。</w:t>
      </w:r>
    </w:p>
    <w:p>
      <w:pPr>
        <w:numPr>
          <w:ilvl w:val="0"/>
          <w:numId w:val="100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健康指标序列构造面向滚动预测任务。</w:t>
      </w:r>
    </w:p>
    <w:bookmarkEnd w:id="27"/>
    <w:bookmarkStart w:id="28" w:name="m4-模型训练与预测模块"/>
    <w:p>
      <w:pPr>
        <w:pStyle w:val="Heading3"/>
      </w:pPr>
      <w:r>
        <w:rPr>
          <w:rFonts w:ascii="宋体" w:hAnsi="宋体" w:eastAsia="宋体"/>
          <w:color w:val="000000"/>
        </w:rPr>
        <w:t xml:space="preserve">3.4 M4 模型训练与预测模块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该模块是系统核心。设计要点如下：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模型统一继承基础接口，暴露输入输出维度和监控状态。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训练器负责批量训练、验证和回调触发。</w:t>
      </w:r>
    </w:p>
    <w:p>
      <w:pPr>
        <w:numPr>
          <w:ilvl w:val="0"/>
          <w:numId w:val="100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预测器负责直接预测、滚动预测和不确定性估计。</w:t>
      </w:r>
    </w:p>
    <w:bookmarkEnd w:id="28"/>
    <w:bookmarkStart w:id="29" w:name="m5-评估可视化与实验管理模块"/>
    <w:p>
      <w:pPr>
        <w:pStyle w:val="Heading3"/>
      </w:pPr>
      <w:r>
        <w:rPr>
          <w:rFonts w:ascii="宋体" w:hAnsi="宋体" w:eastAsia="宋体"/>
          <w:color w:val="000000"/>
        </w:rPr>
        <w:t xml:space="preserve">3.5 M5 评估、可视化与实验管理模块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评估器聚合多个指标。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可视化模块输出图表。</w:t>
      </w:r>
    </w:p>
    <w:p>
      <w:pPr>
        <w:numPr>
          <w:ilvl w:val="0"/>
          <w:numId w:val="1006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实验管理模块统一记录配置、历史、日志、模型和结果。</w:t>
      </w:r>
    </w:p>
    <w:bookmarkEnd w:id="29"/>
    <w:bookmarkEnd w:id="30"/>
    <w:bookmarkStart w:id="31" w:name="数据流设计"/>
    <w:p>
      <w:pPr>
        <w:pStyle w:val="Heading2"/>
      </w:pPr>
      <w:r>
        <w:rPr>
          <w:rFonts w:ascii="宋体" w:hAnsi="宋体" w:eastAsia="宋体"/>
          <w:color w:val="000000"/>
        </w:rPr>
        <w:t xml:space="preserve">4. 数据流设计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系统数据流从原始数据到最终产物依次经过以下阶段：</w:t>
      </w:r>
    </w:p>
    <w:p>
      <w:pPr>
        <w:pStyle w:val="SourceCode"/>
      </w:pPr>
      <w:r>
        <w:rPr>
          <w:rStyle w:val="VerbatimChar"/>
          <w:rFonts w:ascii="宋体" w:hAnsi="宋体" w:eastAsia="宋体"/>
          <w:color w:val="000000"/>
        </w:rPr>
        <w:t xml:space="preserve">原始数据文件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↓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BearingEntity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↓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预处理 / 特征提取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↓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BearingWindowDataset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↓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训练 / 预测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↓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预测结果与指标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  ↓</w:t>
      </w:r>
      <w:r>
        <w:rPr>
          <w:rFonts w:ascii="宋体" w:hAnsi="宋体" w:eastAsia="宋体"/>
          <w:color w:val="000000"/>
        </w:rPr>
        <w:br/>
      </w:r>
      <w:r>
        <w:rPr>
          <w:rStyle w:val="VerbatimChar"/>
          <w:rFonts w:ascii="宋体" w:hAnsi="宋体" w:eastAsia="宋体"/>
          <w:color w:val="000000"/>
        </w:rPr>
        <w:t xml:space="preserve">图表、日志、配置、检查点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设计上要求每一步都能被导出或检查，避免出现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中间状态不可见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的问题。</w:t>
      </w:r>
    </w:p>
    <w:bookmarkEnd w:id="31"/>
    <w:bookmarkStart w:id="32" w:name="数据库与数据文件设计"/>
    <w:p>
      <w:pPr>
        <w:pStyle w:val="Heading2"/>
      </w:pPr>
      <w:r>
        <w:rPr>
          <w:rFonts w:ascii="宋体" w:hAnsi="宋体" w:eastAsia="宋体"/>
          <w:color w:val="000000"/>
        </w:rPr>
        <w:t xml:space="preserve">5. 数据库与数据文件设计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项目不引入关系型数据库，主要使用目录式文件组织。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类型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说明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典型格式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原始数据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官方数据集压缩包或解压目录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zip、rar、csv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中间数据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标签化数据集、缓存特征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csv、pkl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训练产物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模型检查点、历史记录、配置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pt、json、yaml、csv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结果图表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曲线图、热图、误差分布图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png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这种设计便于课程项目交付，也降低了数据库维护成本。</w:t>
      </w:r>
    </w:p>
    <w:bookmarkEnd w:id="32"/>
    <w:bookmarkStart w:id="37" w:name="核心算法设计"/>
    <w:p>
      <w:pPr>
        <w:pStyle w:val="Heading2"/>
      </w:pPr>
      <w:r>
        <w:rPr>
          <w:rFonts w:ascii="宋体" w:hAnsi="宋体" w:eastAsia="宋体"/>
          <w:color w:val="000000"/>
        </w:rPr>
        <w:t xml:space="preserve">6. 核心算法设计</w:t>
      </w:r>
    </w:p>
    <w:bookmarkStart w:id="33" w:name="预处理算法"/>
    <w:p>
      <w:pPr>
        <w:pStyle w:val="Heading3"/>
      </w:pPr>
      <w:r>
        <w:rPr>
          <w:rFonts w:ascii="宋体" w:hAnsi="宋体" w:eastAsia="宋体"/>
          <w:color w:val="000000"/>
        </w:rPr>
        <w:t xml:space="preserve">6.1 预处理算法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滑动窗口：按照窗口长度和步长切分序列。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归一化：在窗口级或样本级进行缩放。</w:t>
      </w:r>
    </w:p>
    <w:p>
      <w:pPr>
        <w:numPr>
          <w:ilvl w:val="0"/>
          <w:numId w:val="1007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频域分析：对窗口做 FFT 并提取主频和能量。</w:t>
      </w:r>
    </w:p>
    <w:bookmarkEnd w:id="33"/>
    <w:bookmarkStart w:id="34" w:name="退化阶段划分算法"/>
    <w:p>
      <w:pPr>
        <w:pStyle w:val="Heading3"/>
      </w:pPr>
      <w:r>
        <w:rPr>
          <w:rFonts w:ascii="宋体" w:hAnsi="宋体" w:eastAsia="宋体"/>
          <w:color w:val="000000"/>
        </w:rPr>
        <w:t xml:space="preserve">6.2 退化阶段划分算法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3sigma：基于健康指标偏离基线的统计阈值定义阶段。</w:t>
      </w:r>
    </w:p>
    <w:p>
      <w:pPr>
        <w:numPr>
          <w:ilvl w:val="0"/>
          <w:numId w:val="1008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FPT：识别首次稳定偏离健康状态的时刻，作为可预测点。</w:t>
      </w:r>
    </w:p>
    <w:bookmarkEnd w:id="34"/>
    <w:bookmarkStart w:id="35" w:name="预测算法"/>
    <w:p>
      <w:pPr>
        <w:pStyle w:val="Heading3"/>
      </w:pPr>
      <w:r>
        <w:rPr>
          <w:rFonts w:ascii="宋体" w:hAnsi="宋体" w:eastAsia="宋体"/>
          <w:color w:val="000000"/>
        </w:rPr>
        <w:t xml:space="preserve">6.3 预测算法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CNN：提取局部退化模式。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RNN：建模时间依赖关系。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Transformer：通过注意力建模中长序列关系。</w:t>
      </w:r>
    </w:p>
    <w:p>
      <w:pPr>
        <w:numPr>
          <w:ilvl w:val="0"/>
          <w:numId w:val="1009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Monte Carlo Dropout：多次采样获得均值和方差。</w:t>
      </w:r>
    </w:p>
    <w:bookmarkEnd w:id="35"/>
    <w:bookmarkStart w:id="36" w:name="特征序列与-rul-标签设计"/>
    <w:p>
      <w:pPr>
        <w:pStyle w:val="Heading3"/>
      </w:pPr>
      <w:r>
        <w:rPr>
          <w:rFonts w:ascii="宋体" w:hAnsi="宋体" w:eastAsia="宋体"/>
          <w:color w:val="000000"/>
        </w:rPr>
        <w:t xml:space="preserve">6.4 特征序列与 RUL 标签设计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特征序列构造流程如下：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按轴承编号读取原始快照，并保持时间顺序。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对每个快照提取时域和频域统计特征，形成 feature vector。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使用固定长度窗口将连续 feature vector 组织为 feature sequence。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根据当前窗口末端到寿命终点的距离生成 RUL 标签。</w:t>
      </w:r>
    </w:p>
    <w:p>
      <w:pPr>
        <w:numPr>
          <w:ilvl w:val="0"/>
          <w:numId w:val="1010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将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(feature_sequence, rul_target, metadata)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交给模型训练模块。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该设计避免了两个常见问题：一是把相邻时间点随机打乱导致数据泄漏；二是只使用单个快照导致模型看不到退化趋势。对于 XJTU-SY 和 PHM2012，loader 可以分别解释时间单位，但训练模块只依赖统一的序列张量和 RUL 标签。</w:t>
      </w:r>
    </w:p>
    <w:bookmarkEnd w:id="36"/>
    <w:bookmarkEnd w:id="37"/>
    <w:bookmarkStart w:id="41" w:name="接口设计"/>
    <w:p>
      <w:pPr>
        <w:pStyle w:val="Heading2"/>
      </w:pPr>
      <w:r>
        <w:rPr>
          <w:rFonts w:ascii="宋体" w:hAnsi="宋体" w:eastAsia="宋体"/>
          <w:color w:val="000000"/>
        </w:rPr>
        <w:t xml:space="preserve">7. 接口设计</w:t>
      </w:r>
    </w:p>
    <w:bookmarkStart w:id="38" w:name="数据接口"/>
    <w:p>
      <w:pPr>
        <w:pStyle w:val="Heading3"/>
      </w:pPr>
      <w:r>
        <w:rPr>
          <w:rFonts w:ascii="宋体" w:hAnsi="宋体" w:eastAsia="宋体"/>
          <w:color w:val="000000"/>
        </w:rPr>
        <w:t xml:space="preserve">7.1 数据接口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loader 接口：</w:t>
      </w:r>
      <w:r>
        <w:rPr>
          <w:rStyle w:val="VerbatimChar"/>
          <w:rFonts w:ascii="宋体" w:hAnsi="宋体" w:eastAsia="宋体"/>
          <w:color w:val="000000"/>
        </w:rPr>
        <w:t xml:space="preserve">list_entities()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load_entity(entity_id)</w:t>
      </w:r>
    </w:p>
    <w:p>
      <w:pPr>
        <w:numPr>
          <w:ilvl w:val="0"/>
          <w:numId w:val="1011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dataset 接口：</w:t>
      </w:r>
      <w:r>
        <w:rPr>
          <w:rStyle w:val="VerbatimChar"/>
          <w:rFonts w:ascii="宋体" w:hAnsi="宋体" w:eastAsia="宋体"/>
          <w:color w:val="000000"/>
        </w:rPr>
        <w:t xml:space="preserve">split_by_ratio()</w:t>
      </w:r>
      <w:r>
        <w:rPr>
          <w:rFonts w:ascii="宋体" w:hAnsi="宋体" w:eastAsia="宋体"/>
          <w:color w:val="000000"/>
        </w:rPr>
        <w:t xml:space="preserve">、</w:t>
      </w:r>
      <w:r>
        <w:rPr>
          <w:rStyle w:val="VerbatimChar"/>
          <w:rFonts w:ascii="宋体" w:hAnsi="宋体" w:eastAsia="宋体"/>
          <w:color w:val="000000"/>
        </w:rPr>
        <w:t xml:space="preserve">export()</w:t>
      </w:r>
    </w:p>
    <w:bookmarkEnd w:id="38"/>
    <w:bookmarkStart w:id="39" w:name="训练接口"/>
    <w:p>
      <w:pPr>
        <w:pStyle w:val="Heading3"/>
      </w:pPr>
      <w:r>
        <w:rPr>
          <w:rFonts w:ascii="宋体" w:hAnsi="宋体" w:eastAsia="宋体"/>
          <w:color w:val="000000"/>
        </w:rPr>
        <w:t xml:space="preserve">7.2 训练接口</w:t>
      </w:r>
    </w:p>
    <w:p>
      <w:pPr>
        <w:numPr>
          <w:ilvl w:val="0"/>
          <w:numId w:val="101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trainer 接口：</w:t>
      </w:r>
      <w:r>
        <w:rPr>
          <w:rStyle w:val="VerbatimChar"/>
          <w:rFonts w:ascii="宋体" w:hAnsi="宋体" w:eastAsia="宋体"/>
          <w:color w:val="000000"/>
        </w:rPr>
        <w:t xml:space="preserve">train(model, train_set, valid_set)</w:t>
      </w:r>
    </w:p>
    <w:p>
      <w:pPr>
        <w:numPr>
          <w:ilvl w:val="0"/>
          <w:numId w:val="101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tester 接口：</w:t>
      </w:r>
      <w:r>
        <w:rPr>
          <w:rStyle w:val="VerbatimChar"/>
          <w:rFonts w:ascii="宋体" w:hAnsi="宋体" w:eastAsia="宋体"/>
          <w:color w:val="000000"/>
        </w:rPr>
        <w:t xml:space="preserve">test(model, test_set)</w:t>
      </w:r>
    </w:p>
    <w:p>
      <w:pPr>
        <w:numPr>
          <w:ilvl w:val="0"/>
          <w:numId w:val="1012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callback 接口：训练开始、批次结束、epoch 结束等生命周期钩子</w:t>
      </w:r>
    </w:p>
    <w:bookmarkEnd w:id="39"/>
    <w:bookmarkStart w:id="40" w:name="评估与展示接口"/>
    <w:p>
      <w:pPr>
        <w:pStyle w:val="Heading3"/>
      </w:pPr>
      <w:r>
        <w:rPr>
          <w:rFonts w:ascii="宋体" w:hAnsi="宋体" w:eastAsia="宋体"/>
          <w:color w:val="000000"/>
        </w:rPr>
        <w:t xml:space="preserve">7.3 评估与展示接口</w:t>
      </w:r>
    </w:p>
    <w:p>
      <w:pPr>
        <w:numPr>
          <w:ilvl w:val="0"/>
          <w:numId w:val="101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evaluator：统一注册多个指标并执行评估</w:t>
      </w:r>
    </w:p>
    <w:p>
      <w:pPr>
        <w:numPr>
          <w:ilvl w:val="0"/>
          <w:numId w:val="1013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visualizer：导出图表文件和展示结果</w:t>
      </w:r>
    </w:p>
    <w:bookmarkEnd w:id="40"/>
    <w:bookmarkEnd w:id="41"/>
    <w:bookmarkStart w:id="42" w:name="系统运行流程设计"/>
    <w:p>
      <w:pPr>
        <w:pStyle w:val="Heading2"/>
      </w:pPr>
      <w:r>
        <w:rPr>
          <w:rFonts w:ascii="宋体" w:hAnsi="宋体" w:eastAsia="宋体"/>
          <w:color w:val="000000"/>
        </w:rPr>
        <w:t xml:space="preserve">8. 系统运行流程设计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一次标准运行流程如下：</w:t>
      </w:r>
    </w:p>
    <w:p>
      <w:pPr>
        <w:numPr>
          <w:ilvl w:val="0"/>
          <w:numId w:val="101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选择数据集并加载实体。</w:t>
      </w:r>
    </w:p>
    <w:p>
      <w:pPr>
        <w:numPr>
          <w:ilvl w:val="0"/>
          <w:numId w:val="101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选择预处理参数和标签构造方式。</w:t>
      </w:r>
    </w:p>
    <w:p>
      <w:pPr>
        <w:numPr>
          <w:ilvl w:val="0"/>
          <w:numId w:val="101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划分训练集和测试集。</w:t>
      </w:r>
    </w:p>
    <w:p>
      <w:pPr>
        <w:numPr>
          <w:ilvl w:val="0"/>
          <w:numId w:val="101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选择模型、训练器和回调。</w:t>
      </w:r>
    </w:p>
    <w:p>
      <w:pPr>
        <w:numPr>
          <w:ilvl w:val="0"/>
          <w:numId w:val="101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训练并记录过程。</w:t>
      </w:r>
    </w:p>
    <w:p>
      <w:pPr>
        <w:numPr>
          <w:ilvl w:val="0"/>
          <w:numId w:val="101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运行测试与评估。</w:t>
      </w:r>
    </w:p>
    <w:p>
      <w:pPr>
        <w:numPr>
          <w:ilvl w:val="0"/>
          <w:numId w:val="1014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导出图表、日志和模型文件。</w:t>
      </w:r>
    </w:p>
    <w:bookmarkEnd w:id="42"/>
    <w:bookmarkStart w:id="43" w:name="异常处理设计"/>
    <w:p>
      <w:pPr>
        <w:pStyle w:val="Heading2"/>
      </w:pPr>
      <w:r>
        <w:rPr>
          <w:rFonts w:ascii="宋体" w:hAnsi="宋体" w:eastAsia="宋体"/>
          <w:color w:val="000000"/>
        </w:rPr>
        <w:t xml:space="preserve">9. 异常处理设计</w:t>
      </w:r>
    </w:p>
    <w:tbl>
      <w:tblPr>
        <w:tblStyle w:val="Table"/>
        <w:tblW w:type="pct" w:w="0.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/>
      <w:tr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场景</w:t>
            </w:r>
          </w:p>
        </w:tc>
        <w:tc>
          <w:tcPr>
            <w:shd w:fill="FFFFFF"/>
          </w:tcPr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b/>
                <w:color w:val="000000"/>
                <w:sz w:val="21"/>
              </w:rPr>
              <w:t xml:space="preserve">处理方式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数据路径不存在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抛出明确异常并提示路径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文件列格式异常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尝试数值化并过滤非法行，失败时给出说明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训练过程中梯度异常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记录告警并输出日志</w:t>
            </w:r>
          </w:p>
        </w:tc>
      </w:tr>
      <w:tr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导出目录不存在</w:t>
            </w:r>
          </w:p>
        </w:tc>
        <w:tc>
          <w:p>
            <w:pPr>
              <w:pStyle w:val="Compact"/>
              <w:ind w:firstLine="0"/>
              <w:jc w:val="left"/>
            </w:pPr>
            <w:r>
              <w:rPr>
                <w:rFonts w:ascii="宋体" w:hAnsi="宋体" w:eastAsia="宋体"/>
                <w:color w:val="000000"/>
                <w:sz w:val="21"/>
              </w:rPr>
              <w:t xml:space="preserve">自动创建目录后再导出</w:t>
            </w:r>
          </w:p>
        </w:tc>
      </w:tr>
    </w:tbl>
    <w:p>
      <w:pPr>
        <w:pStyle w:val="BodyTex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异常处理设计原则是</w:t>
      </w:r>
      <w:r>
        <w:rPr>
          <w:rFonts w:ascii="宋体" w:hAnsi="宋体" w:eastAsia="宋体"/>
          <w:color w:val="000000"/>
        </w:rPr>
        <w:t xml:space="preserve">“</w:t>
      </w:r>
      <w:r>
        <w:rPr>
          <w:rFonts w:ascii="宋体" w:hAnsi="宋体" w:eastAsia="宋体"/>
          <w:color w:val="000000"/>
        </w:rPr>
        <w:t xml:space="preserve">尽可能给出明确错误，不做静默吞错</w:t>
      </w:r>
      <w:r>
        <w:rPr>
          <w:rFonts w:ascii="宋体" w:hAnsi="宋体" w:eastAsia="宋体"/>
          <w:color w:val="000000"/>
        </w:rPr>
        <w:t xml:space="preserve">”</w:t>
      </w:r>
      <w:r>
        <w:rPr>
          <w:rFonts w:ascii="宋体" w:hAnsi="宋体" w:eastAsia="宋体"/>
          <w:color w:val="000000"/>
        </w:rPr>
        <w:t xml:space="preserve">。</w:t>
      </w:r>
    </w:p>
    <w:bookmarkEnd w:id="43"/>
    <w:bookmarkStart w:id="44" w:name="部署设计"/>
    <w:p>
      <w:pPr>
        <w:pStyle w:val="Heading2"/>
      </w:pPr>
      <w:r>
        <w:rPr>
          <w:rFonts w:ascii="宋体" w:hAnsi="宋体" w:eastAsia="宋体"/>
          <w:color w:val="000000"/>
        </w:rPr>
        <w:t xml:space="preserve">10. 部署设计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项目部署方式以本地运行和课程演示为主。</w:t>
      </w:r>
    </w:p>
    <w:p>
      <w:pPr>
        <w:numPr>
          <w:ilvl w:val="0"/>
          <w:numId w:val="101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通过 uv 安装依赖并创建环境。</w:t>
      </w:r>
    </w:p>
    <w:p>
      <w:pPr>
        <w:numPr>
          <w:ilvl w:val="0"/>
          <w:numId w:val="101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通过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uv run python main.py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运行主示例。</w:t>
      </w:r>
    </w:p>
    <w:p>
      <w:pPr>
        <w:numPr>
          <w:ilvl w:val="0"/>
          <w:numId w:val="101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通过</w:t>
      </w:r>
      <w:r>
        <w:rPr>
          <w:rFonts w:ascii="宋体" w:hAnsi="宋体" w:eastAsia="宋体"/>
          <w:color w:val="000000"/>
        </w:rPr>
        <w:t xml:space="preserve"> </w:t>
      </w:r>
      <w:r>
        <w:rPr>
          <w:rStyle w:val="VerbatimChar"/>
          <w:rFonts w:ascii="宋体" w:hAnsi="宋体" w:eastAsia="宋体"/>
          <w:color w:val="000000"/>
        </w:rPr>
        <w:t xml:space="preserve">uv run pytest -q</w:t>
      </w:r>
      <w:r>
        <w:rPr>
          <w:rFonts w:ascii="宋体" w:hAnsi="宋体" w:eastAsia="宋体"/>
          <w:color w:val="000000"/>
        </w:rPr>
        <w:t xml:space="preserve"> </w:t>
      </w:r>
      <w:r>
        <w:rPr>
          <w:rFonts w:ascii="宋体" w:hAnsi="宋体" w:eastAsia="宋体"/>
          <w:color w:val="000000"/>
        </w:rPr>
        <w:t xml:space="preserve">运行自动化测试。</w:t>
      </w:r>
    </w:p>
    <w:p>
      <w:pPr>
        <w:numPr>
          <w:ilvl w:val="0"/>
          <w:numId w:val="1015"/>
        </w:numPr>
        <w:pStyle w:val="Compact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通过 Pandoc 将文档导出为 PDF。</w:t>
      </w:r>
    </w:p>
    <w:bookmarkEnd w:id="44"/>
    <w:bookmarkStart w:id="45" w:name="设计总结"/>
    <w:p>
      <w:pPr>
        <w:pStyle w:val="Heading2"/>
      </w:pPr>
      <w:r>
        <w:rPr>
          <w:rFonts w:ascii="宋体" w:hAnsi="宋体" w:eastAsia="宋体"/>
          <w:color w:val="000000"/>
        </w:rPr>
        <w:t xml:space="preserve">11. 设计总结</w:t>
      </w:r>
    </w:p>
    <w:p>
      <w:pPr>
        <w:pStyle w:val="FirstParagraph"/>
        <w:spacing w:line="276" w:lineRule="auto" w:after="0"/>
        <w:ind w:firstLine="420"/>
      </w:pPr>
      <w:r>
        <w:rPr>
          <w:rFonts w:ascii="宋体" w:hAnsi="宋体" w:eastAsia="宋体"/>
          <w:color w:val="000000"/>
        </w:rPr>
        <w:t xml:space="preserve">本设计文档的核心思想是以统一数据抽象和统一训练框架为中心，将数据、模型、评估和展示有机串联起来。这样既能满足课程项目的规范要求，也便于后续继续扩展新的算法和数据源。</w:t>
      </w:r>
    </w:p>
    <w:bookmarkEnd w:id="45"/>
    <w:bookmarkEnd w:id="46"/>
    <w:sectPr>
      <w:pgMar w:top="1440" w:bottom="1440" w:left="1797" w:right="179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宋体" w:hAnsi="宋体" w:eastAsia="宋体"/>
      <w:color w:val="000000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宋体" w:hAnsi="宋体" w:eastAsia="宋体"/>
      <w:color w:val="000000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宋体" w:hAnsi="宋体" w:eastAsia="宋体"/>
      <w:color w:val="000000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宋体" w:hAnsi="宋体" w:eastAsia="宋体"/>
      <w:color w:val="000000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color w:val="000000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3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宋体" w:hAnsi="宋体" w:eastAsia="宋体"/>
      <w:b/>
      <w:bCs/>
      <w:color w:val="000000"/>
      <w:sz w:val="27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宋体" w:hAnsi="宋体" w:eastAsia="宋体"/>
      <w:i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宋体" w:hAnsi="宋体" w:eastAsia="宋体"/>
      <w:b/>
      <w:iCs/>
      <w:color w:val="000000"/>
      <w:sz w:val="21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宋体" w:hAnsi="宋体" w:eastAsia="宋体"/>
      <w:b/>
      <w:color w:val="000000"/>
      <w:sz w:val="21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0000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06_设计文档</dc:title>
  <dc:creator>zyj、cyy、zdh、zy</dc:creator>
  <cp:keywords>RUL, 预测性维护, 工业轴承, 软件工程</cp:keywords>
  <dcterms:created xsi:type="dcterms:W3CDTF">2026-06-14T16:33:36Z</dcterms:created>
  <dcterms:modified xsi:type="dcterms:W3CDTF">2026-06-14T16:33:36Z</dcterms:modified>
  <dc:subject>工业轴承设备剩余寿命预测系统的实现课程交付文档</dc:subject>
  <dc:description>中国科学技术大学软件学院《软件工程》；由 Markdown 源文件生成 DOCX。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