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汇报重点：数据理解、特征分析、工程实现、复现实验、测试验收。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回归预测，不展开离散状态分类。</w:t>
      </w:r>
    </w:p>
    <w:bookmarkEnd w:id="24"/>
    <w:bookmarkStart w:id="25" w:name="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0.56 上升到约 7.27，峰值和健康指标在后期也明显抬升。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0.56 上升到约 5.61，后期振动强度和冲击变化更明显。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健康指标同样由强度、冲击和频谱相关特征合成。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7. 特征工程与 RUL 标签构造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强度特征：RMS、峰值、谱能量。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稳定性和频谱特征：均值、方差、主频、谱质心、谱熵。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快照级特征按时间顺序组织为长度 5 或 10 的特征序列。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生成；如果只使用快照序号，则必须标注为 snapshot-level RUL，不能直接写成秒。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示例：第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个快照约对应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i * 60s</w:t>
      </w:r>
      <w:r>
        <w:rPr>
          <w:rFonts w:ascii="宋体" w:hAnsi="宋体" w:eastAsia="宋体"/>
          <w:color w:val="000000"/>
        </w:rPr>
        <w:t xml:space="preserve">，寿命终点为最后一个快照时间，因此剩余寿命可以解释为分钟级时间差。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示例：Learning/Full_Test 可按约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10s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文件间隔换算；Test_set 还要结合官方给出的终止 RUL 条目，不能只看本地文件数。</w:t>
      </w:r>
    </w:p>
    <w:bookmarkEnd w:id="28"/>
    <w:bookmarkStart w:id="29" w:name="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系统总体架构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维时频域特征，按数据集时间语义构造特征序列和 RUL 标签。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展示入口：核心逻辑在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主要用于示例运行和论文复现实验。</w:t>
      </w:r>
    </w:p>
    <w:bookmarkEnd w:id="29"/>
    <w:bookmarkStart w:id="30" w:name="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9. 难点一：异构数据集统一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0"/>
    <w:bookmarkStart w:id="31" w:name="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难点二：信号到序列特征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模型看到的是一段连续变化，而不是孤立的一个点。</w:t>
      </w:r>
    </w:p>
    <w:bookmarkEnd w:id="31"/>
    <w:bookmarkStart w:id="32" w:name="rul-模型与复现实验设计"/>
    <w:p>
      <w:pPr>
        <w:pStyle w:val="Heading2"/>
      </w:pPr>
      <w:r>
        <w:rPr>
          <w:rFonts w:ascii="宋体" w:hAnsi="宋体" w:eastAsia="宋体"/>
          <w:color w:val="000000"/>
        </w:rPr>
        <w:t xml:space="preserve">11. RUL 模型与复现实验设计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2024：CNN-LSTM-AM，CNN 提局部模式，LSTM 建模时间依赖，attention 聚合关键时间步。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2026：xLSTM-Transformer，参考论文结构实现并适配本项目特征序列输入。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训练设置：真实数据小规模训练验收，8 epoch。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复现边界：不把课程范围内结果说成论文完整数值对齐。</w:t>
      </w:r>
    </w:p>
    <w:bookmarkEnd w:id="32"/>
    <w:bookmarkStart w:id="33" w:name="评价指标与实验结果解释"/>
    <w:p>
      <w:pPr>
        <w:pStyle w:val="Heading2"/>
      </w:pPr>
      <w:r>
        <w:rPr>
          <w:rFonts w:ascii="宋体" w:hAnsi="宋体" w:eastAsia="宋体"/>
          <w:color w:val="000000"/>
        </w:rPr>
        <w:t xml:space="preserve">12. 评价指标与实验结果解释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任务指标：Huang 原版 Score、PHM/RUL 惩罚 Score。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结果解释重点：误差大小、趋势是否合理、提前和滞后预测各有什么风险。</w:t>
      </w:r>
    </w:p>
    <w:bookmarkEnd w:id="33"/>
    <w:bookmarkStart w:id="35" w:name="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13. 测试方案与验收证据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pytest：31 个测试通过。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纳入执行验收。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Start w:id="34" w:name="汇报时间与语气控制"/>
    <w:p>
      <w:pPr>
        <w:pStyle w:val="Heading3"/>
      </w:pPr>
      <w:r>
        <w:rPr>
          <w:rFonts w:ascii="宋体" w:hAnsi="宋体" w:eastAsia="宋体"/>
          <w:color w:val="000000"/>
        </w:rPr>
        <w:t xml:space="preserve">13.1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强调真实训练和指标输出，同时说明复现边界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4"/>
    <w:bookmarkEnd w:id="35"/>
    <w:bookmarkStart w:id="36" w:name="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14. 成员分工、不足与总结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总结：项目把真实数据读取、特征提取、RUL 建模、评价输出和课程文档交付实际跑通。</w:t>
      </w:r>
    </w:p>
    <w:bookmarkEnd w:id="36"/>
    <w:bookmarkEnd w:id="37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2026-06-14T15:44:30Z</dcterms:created>
  <dcterms:modified xsi:type="dcterms:W3CDTF">2026-06-14T15:44:30Z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