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端到端运行与输出解读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工业轴承设备剩余寿命预测系统的实现：端到端运行与输出解读手册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端到端运行与输出解读手册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运行入口、训练输出、指标文件、常见问题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新增端到端运行和输出文件解释</w:t>
            </w:r>
          </w:p>
        </w:tc>
      </w:tr>
    </w:tbl>
    <w:bookmarkEnd w:id="21"/>
    <w:bookmarkStart w:id="23" w:name="运行前准备"/>
    <w:p>
      <w:pPr>
        <w:pStyle w:val="Heading2"/>
      </w:pPr>
      <w:r>
        <w:rPr>
          <w:rFonts w:ascii="宋体" w:hAnsi="宋体" w:eastAsia="宋体"/>
          <w:color w:val="000000"/>
        </w:rPr>
        <w:t xml:space="preserve">1. 运行前准备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项目使用 Python 3.11+ 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管理环境。首次运行建议执行：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若只运行演示流程，不需要下载真实数据；若运行两篇论文复现，需要在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下准备 XJTU-SY 和 PHM2012/FEMTO 数据。原始数据体积较大，不纳入 Git 归档。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训练输出证据链" title="" id="1" name="Picture"/>
            <a:graphic>
              <a:graphicData uri="http://schemas.openxmlformats.org/drawingml/2006/picture">
                <pic:pic>
                  <pic:nvPicPr>
                    <pic:cNvPr descr="../assets/project-owner/training-evidence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训练输出证据链</w:t>
      </w:r>
    </w:p>
    <w:bookmarkEnd w:id="23"/>
    <w:bookmarkStart w:id="24" w:name="快速演示入口"/>
    <w:p>
      <w:pPr>
        <w:pStyle w:val="Heading2"/>
      </w:pPr>
      <w:r>
        <w:rPr>
          <w:rFonts w:ascii="宋体" w:hAnsi="宋体" w:eastAsia="宋体"/>
          <w:color w:val="000000"/>
        </w:rPr>
        <w:t xml:space="preserve">2. 快速演示入口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快速演示命令：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该入口使用合成数据或轻量样例，适合检查 API、训练器、评价器和可视化输出是否能够串联。它不能替代真实数据复现，但可作为环境安装后的第一步验证。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输出通常包括模型训练日志、指标摘要和基础图表。若该入口失败，应优先检查依赖安装、Python 版本和输出目录权限。</w:t>
      </w:r>
    </w:p>
    <w:bookmarkEnd w:id="24"/>
    <w:bookmarkStart w:id="25" w:name="notebook-入口"/>
    <w:p>
      <w:pPr>
        <w:pStyle w:val="Heading2"/>
      </w:pPr>
      <w:r>
        <w:rPr>
          <w:rFonts w:ascii="宋体" w:hAnsi="宋体" w:eastAsia="宋体"/>
          <w:color w:val="000000"/>
        </w:rPr>
        <w:t xml:space="preserve">3. Notebook 入口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下的示例全部采用 notebook 形式，覆盖数据集介绍、loader 使用、特征分析、RUL 训练、论文复现和可视化。它们既是用户学习材料，也是自动化测试对象。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验证命令：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smoke test 使用 1 epoch 设置，目的是确认示例单元能执行完成，而不是追求模型性能。</w:t>
      </w:r>
    </w:p>
    <w:bookmarkEnd w:id="25"/>
    <w:bookmarkStart w:id="26" w:name="论文复现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论文复现入口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第一篇论文复现入口是 CNN-LSTM-AM：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examples.demo_workflows import run_paper_cnn_lstm_attention_reproduction; run_paper_cnn_lstm_attention_reproduction()"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第二篇论文复现入口是 xLSTM-Transformer：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examples.demo_workflows import run_paper_xlstm_transformer_reproduction; run_paper_xlstm_transformer_reproduction()"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这两条命令要求本地能读取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下，不提交到仓库。</w:t>
      </w:r>
    </w:p>
    <w:bookmarkEnd w:id="26"/>
    <w:bookmarkStart w:id="27" w:name="主要输出文件解读"/>
    <w:p>
      <w:pPr>
        <w:pStyle w:val="Heading2"/>
      </w:pPr>
      <w:r>
        <w:rPr>
          <w:rFonts w:ascii="宋体" w:hAnsi="宋体" w:eastAsia="宋体"/>
          <w:color w:val="000000"/>
        </w:rPr>
        <w:t xml:space="preserve">5. 主要输出文件解读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产生阶段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解读方式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epoch、loss、rmse、mae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检查训练是否真实执行，epoch 行数是否符合设置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rmse、mae、r2、score 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保存单个模型的指标摘要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target、prediction、error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检查逐样本 RUL 预测和偏差方向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复现实验阶段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dataset、model、metric columns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比较不同模型、数据集和工况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答辩展示时，不应只展示最终 RMSE，还应说明这些文件共同构成训练证据链：有训练过程、有预测明细、有汇总指标、有对比表。</w:t>
      </w:r>
    </w:p>
    <w:bookmarkEnd w:id="27"/>
    <w:bookmarkStart w:id="28" w:name="指标文件关键列"/>
    <w:p>
      <w:pPr>
        <w:pStyle w:val="Heading2"/>
      </w:pPr>
      <w:r>
        <w:rPr>
          <w:rFonts w:ascii="宋体" w:hAnsi="宋体" w:eastAsia="宋体"/>
          <w:color w:val="000000"/>
        </w:rPr>
        <w:t xml:space="preserve">6. 指标文件关键列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CNN-LSTM-AM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预测的均方根误差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RUL 范围归一化后的 RMSE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 等论文 Eq. 11-13 的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smape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对称平均绝对百分比误差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over_prediction_rate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预测寿命偏大的样本比例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within_10_percent_rate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误差落在 10% 容差内的比例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rmse_reduction_pct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CNN-LSTM baseline 的 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huang_score_change_pct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baseline 的 Huang Score 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xLSTM-Transformer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归一化误差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相对均值基线的拟合程度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 challenge-style 惩罚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测试样本数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epoch_count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实际训练 epoch 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rmse_change_pct_vs_baseline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 baseline 的 RMSE 变化</w:t>
            </w:r>
          </w:p>
        </w:tc>
      </w:tr>
    </w:tbl>
    <w:bookmarkEnd w:id="28"/>
    <w:bookmarkStart w:id="29" w:name="常见问题"/>
    <w:p>
      <w:pPr>
        <w:pStyle w:val="Heading2"/>
      </w:pPr>
      <w:r>
        <w:rPr>
          <w:rFonts w:ascii="宋体" w:hAnsi="宋体" w:eastAsia="宋体"/>
          <w:color w:val="000000"/>
        </w:rPr>
        <w:t xml:space="preserve">7. 常见问题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可能原因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真实复现找不到数据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未放置原始数据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准备数据目录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执行慢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或样本数过大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BEARING_EXAMPLE_EPOCHS=1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做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 为负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小样本、短训练下模型弱于均值基线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在文档中作为实验边界解释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指标数值看起来较大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单位和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先说明指标公式，再解释结果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输出目录混乱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多次实验写到同一位置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隔离输出</w:t>
            </w:r>
          </w:p>
        </w:tc>
      </w:tr>
    </w:tbl>
    <w:bookmarkEnd w:id="29"/>
    <w:bookmarkStart w:id="30" w:name="验收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验收依据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命令或文件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全部示例单元完成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指标列完整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包含论文 score 和相对变化列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行数与设置一致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能追溯目标值、预测值和误差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24_端到端运行与输出解读手册</dc:title>
  <dc:creator>zyj、cyy、zdh、zy</dc:creator>
  <cp:keywords>RUL, 预测性维护, 工业轴承, 软件工程</cp:keywords>
  <dcterms:created xsi:type="dcterms:W3CDTF">2026-06-14T15:44:48Z</dcterms:created>
  <dcterms:modified xsi:type="dcterms:W3CDTF">2026-06-14T15:44:48Z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