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工业轴承设备剩余寿命预测系统的实现uml-设计文档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工业轴承设备剩余寿命预测系统的实现：UML 设计文档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UML 设计文档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SE-PHM-MID-12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中期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用例图、类图、顺序图、组件关系和部署视图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文档目的"/>
    <w:p>
      <w:pPr>
        <w:pStyle w:val="Heading2"/>
      </w:pPr>
      <w:r>
        <w:rPr>
          <w:rFonts w:ascii="宋体" w:hAnsi="宋体" w:eastAsia="宋体"/>
          <w:color w:val="000000"/>
        </w:rPr>
        <w:t xml:space="preserve">1. 文档目的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本文档用于补充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工业轴承设备剩余寿命预测系统的实现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的 UML 设计说明，明确系统主要参与者、核心类关系、训练与评估顺序、组件边界和部署方式。文档与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06_设计文档.md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配套使用，重点回答系统如何从真实轴承数据进入统一工程流程，以及各模块如何协作完成 RUL 预测。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本项目 UML 设计遵循两个原则：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图示服务于工程实现，不额外引入代码中不存在的复杂对象。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图示围绕 RUL 预测主线展开，退化阶段标注、生存概率和可视化作为辅助能力说明。</w:t>
      </w:r>
    </w:p>
    <w:bookmarkEnd w:id="22"/>
    <w:bookmarkStart w:id="23" w:name="uml-建模范围"/>
    <w:p>
      <w:pPr>
        <w:pStyle w:val="Heading2"/>
      </w:pPr>
      <w:r>
        <w:rPr>
          <w:rFonts w:ascii="宋体" w:hAnsi="宋体" w:eastAsia="宋体"/>
          <w:color w:val="000000"/>
        </w:rPr>
        <w:t xml:space="preserve">2. UML 建模范围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视图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关注点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对应模块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用例图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使用者如何完成数据导入、特征分析、模型训练、论文复现和结果查看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dataset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feature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training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evaluation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examples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类图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数据实体、loader、特征提取、标签构造、模型、训练器、评估器之间的静态关系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src/USTC/SSE/BearingPrediction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顺序图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一次 RUL 训练和评估请求的调用顺序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loader -&gt; labeler -&gt; trainer -&gt; tester -&gt; evaluator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组件图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工程包、notebook、文档和输出目录的边界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src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examples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docx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outputs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部署图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本地课程环境下的运行和数据存放方式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Python 3.11、uv、本地数据目录、实验输出目录</w:t>
            </w:r>
          </w:p>
        </w:tc>
      </w:tr>
    </w:tbl>
    <w:bookmarkEnd w:id="23"/>
    <w:bookmarkStart w:id="25" w:name="用例图"/>
    <w:p>
      <w:pPr>
        <w:pStyle w:val="Heading2"/>
      </w:pPr>
      <w:r>
        <w:rPr>
          <w:rFonts w:ascii="宋体" w:hAnsi="宋体" w:eastAsia="宋体"/>
          <w:color w:val="000000"/>
        </w:rPr>
        <w:t xml:space="preserve">3. 用例图</w:t>
      </w:r>
    </w:p>
    <w:p>
      <w:pPr>
        <w:pStyle w:val="CaptionedFigure"/>
      </w:pPr>
      <w:r>
        <w:rPr>
          <w:rFonts w:ascii="宋体" w:hAnsi="宋体" w:eastAsia="宋体"/>
          <w:color w:val="000000"/>
        </w:rPr>
        <w:drawing>
          <wp:inline>
            <wp:extent cx="5334000" cy="3094268"/>
            <wp:effectExtent b="0" l="0" r="0" t="0"/>
            <wp:docPr descr="UML 用例图" title="" id="1" name="Picture"/>
            <a:graphic>
              <a:graphicData uri="http://schemas.openxmlformats.org/drawingml/2006/picture">
                <pic:pic>
                  <pic:nvPicPr>
                    <pic:cNvPr descr="../assets/uml/use-ca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宋体" w:hAnsi="宋体" w:eastAsia="宋体"/>
          <w:color w:val="000000"/>
        </w:rPr>
        <w:t xml:space="preserve">UML 用例图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用例说明：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实验使用者主要关注从数据到训练再到结果解释的完整链路。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课程评审人员主要关注系统是否可运行、结果是否可解释、文档是否规范。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项目维护者主要关注测试、导出脚本和后续扩展。</w:t>
      </w:r>
    </w:p>
    <w:bookmarkEnd w:id="25"/>
    <w:bookmarkStart w:id="27" w:name="核心类图"/>
    <w:p>
      <w:pPr>
        <w:pStyle w:val="Heading2"/>
      </w:pPr>
      <w:r>
        <w:rPr>
          <w:rFonts w:ascii="宋体" w:hAnsi="宋体" w:eastAsia="宋体"/>
          <w:color w:val="000000"/>
        </w:rPr>
        <w:t xml:space="preserve">4. 核心类图</w:t>
      </w:r>
    </w:p>
    <w:p>
      <w:pPr>
        <w:pStyle w:val="CaptionedFigure"/>
      </w:pPr>
      <w:r>
        <w:rPr>
          <w:rFonts w:ascii="宋体" w:hAnsi="宋体" w:eastAsia="宋体"/>
          <w:color w:val="000000"/>
        </w:rPr>
        <w:drawing>
          <wp:inline>
            <wp:extent cx="5334000" cy="3060915"/>
            <wp:effectExtent b="0" l="0" r="0" t="0"/>
            <wp:docPr descr="UML 核心类图" title="" id="1" name="Picture"/>
            <a:graphic>
              <a:graphicData uri="http://schemas.openxmlformats.org/drawingml/2006/picture">
                <pic:pic>
                  <pic:nvPicPr>
                    <pic:cNvPr descr="../assets/uml/class-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0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宋体" w:hAnsi="宋体" w:eastAsia="宋体"/>
          <w:color w:val="000000"/>
        </w:rPr>
        <w:t xml:space="preserve">UML 核心类图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类图说明：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XJTULoader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和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PHM2012Loader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只负责数据读取和元数据组织，不参与模型训练。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FeatureExtractor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将原始振动快照转换为可解释特征，便于跨数据集复用。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FeatureSequenceRulLabeler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负责将连续特征组织成序列，并生成 RUL 目标。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模型类只处理张量输入输出，训练、测试和指标计算由独立组件负责。</w:t>
      </w:r>
    </w:p>
    <w:bookmarkEnd w:id="27"/>
    <w:bookmarkStart w:id="29" w:name="rul-训练顺序图"/>
    <w:p>
      <w:pPr>
        <w:pStyle w:val="Heading2"/>
      </w:pPr>
      <w:r>
        <w:rPr>
          <w:rFonts w:ascii="宋体" w:hAnsi="宋体" w:eastAsia="宋体"/>
          <w:color w:val="000000"/>
        </w:rPr>
        <w:t xml:space="preserve">5. RUL 训练顺序图</w:t>
      </w:r>
    </w:p>
    <w:p>
      <w:pPr>
        <w:pStyle w:val="CaptionedFigure"/>
      </w:pPr>
      <w:r>
        <w:rPr>
          <w:rFonts w:ascii="宋体" w:hAnsi="宋体" w:eastAsia="宋体"/>
          <w:color w:val="000000"/>
        </w:rPr>
        <w:drawing>
          <wp:inline>
            <wp:extent cx="5334000" cy="2854299"/>
            <wp:effectExtent b="0" l="0" r="0" t="0"/>
            <wp:docPr descr="UML 顺序图" title="" id="1" name="Picture"/>
            <a:graphic>
              <a:graphicData uri="http://schemas.openxmlformats.org/drawingml/2006/picture">
                <pic:pic>
                  <pic:nvPicPr>
                    <pic:cNvPr descr="../assets/uml/sequence-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4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宋体" w:hAnsi="宋体" w:eastAsia="宋体"/>
          <w:color w:val="000000"/>
        </w:rPr>
        <w:t xml:space="preserve">UML 顺序图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顺序图说明：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Notebook 或 API 只是入口，核心计算由包内模块完成。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训练过程必须输出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history.csv</w:t>
      </w:r>
      <w:r>
        <w:rPr>
          <w:rFonts w:ascii="宋体" w:hAnsi="宋体" w:eastAsia="宋体"/>
          <w:color w:val="000000"/>
        </w:rPr>
        <w:t xml:space="preserve">，用于证明 epoch 循环真实执行。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预测结果与指标分开保存，便于后续画图、复现实验和课程检查。</w:t>
      </w:r>
    </w:p>
    <w:bookmarkEnd w:id="29"/>
    <w:bookmarkStart w:id="31" w:name="组件图"/>
    <w:p>
      <w:pPr>
        <w:pStyle w:val="Heading2"/>
      </w:pPr>
      <w:r>
        <w:rPr>
          <w:rFonts w:ascii="宋体" w:hAnsi="宋体" w:eastAsia="宋体"/>
          <w:color w:val="000000"/>
        </w:rPr>
        <w:t xml:space="preserve">6. 组件图</w:t>
      </w:r>
    </w:p>
    <w:p>
      <w:pPr>
        <w:pStyle w:val="CaptionedFigure"/>
      </w:pPr>
      <w:r>
        <w:rPr>
          <w:rFonts w:ascii="宋体" w:hAnsi="宋体" w:eastAsia="宋体"/>
          <w:color w:val="000000"/>
        </w:rPr>
        <w:drawing>
          <wp:inline>
            <wp:extent cx="5334000" cy="3094268"/>
            <wp:effectExtent b="0" l="0" r="0" t="0"/>
            <wp:docPr descr="UML 组件图" title="" id="1" name="Picture"/>
            <a:graphic>
              <a:graphicData uri="http://schemas.openxmlformats.org/drawingml/2006/picture">
                <pic:pic>
                  <pic:nvPicPr>
                    <pic:cNvPr descr="../assets/uml/component-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宋体" w:hAnsi="宋体" w:eastAsia="宋体"/>
          <w:color w:val="000000"/>
        </w:rPr>
        <w:t xml:space="preserve">UML 组件图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组件图说明：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src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是核心工程包，承担可复用逻辑。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examples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是可执行示例和论文复现实验入口，不应包含大量业务逻辑。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tests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对核心链路做自动化验证。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docx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和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docs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负责课程交付和用户说明，文档结论应能追溯到示例、测试和输出文件。</w:t>
      </w:r>
    </w:p>
    <w:bookmarkEnd w:id="31"/>
    <w:bookmarkStart w:id="33" w:name="部署图"/>
    <w:p>
      <w:pPr>
        <w:pStyle w:val="Heading2"/>
      </w:pPr>
      <w:r>
        <w:rPr>
          <w:rFonts w:ascii="宋体" w:hAnsi="宋体" w:eastAsia="宋体"/>
          <w:color w:val="000000"/>
        </w:rPr>
        <w:t xml:space="preserve">7. 部署图</w:t>
      </w:r>
    </w:p>
    <w:p>
      <w:pPr>
        <w:pStyle w:val="CaptionedFigure"/>
      </w:pPr>
      <w:r>
        <w:rPr>
          <w:rFonts w:ascii="宋体" w:hAnsi="宋体" w:eastAsia="宋体"/>
          <w:color w:val="000000"/>
        </w:rPr>
        <w:drawing>
          <wp:inline>
            <wp:extent cx="5334000" cy="3094268"/>
            <wp:effectExtent b="0" l="0" r="0" t="0"/>
            <wp:docPr descr="UML 部署图" title="" id="1" name="Picture"/>
            <a:graphic>
              <a:graphicData uri="http://schemas.openxmlformats.org/drawingml/2006/picture">
                <pic:pic>
                  <pic:nvPicPr>
                    <pic:cNvPr descr="../assets/uml/deployment-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宋体" w:hAnsi="宋体" w:eastAsia="宋体"/>
          <w:color w:val="000000"/>
        </w:rPr>
        <w:t xml:space="preserve">UML 部署图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部署说明：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项目以本地课程环境为主，不依赖远程工业采集系统。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原始真实数据和训练输出不提交到 Git 仓库，只保留目录约定和可复现说明。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课程文档由 Markdown 源文件导出 PDF 和 DOCX，便于审阅和回溯。</w:t>
      </w:r>
    </w:p>
    <w:bookmarkEnd w:id="33"/>
    <w:bookmarkStart w:id="34" w:name="设计一致性说明"/>
    <w:p>
      <w:pPr>
        <w:pStyle w:val="Heading2"/>
      </w:pPr>
      <w:r>
        <w:rPr>
          <w:rFonts w:ascii="宋体" w:hAnsi="宋体" w:eastAsia="宋体"/>
          <w:color w:val="000000"/>
        </w:rPr>
        <w:t xml:space="preserve">8. 设计一致性说明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UML 设计与当前工程实现的对应关系如下：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UML 元素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工程对应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验证方式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 loader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XJTULoader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PHM2012Loader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数据加载测试和 loader overview notebook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特征与标签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时频域特征、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FeatureSequenceRulLabeler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特征导出 notebook、论文复现 workflow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模型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CNN、RNN、CNN-LSTM-AM、XLSTM-Transformer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 forward 测试和真实训练记录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评价器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RMSE、R2、SMAPE、Huang Score、PHM/RUL 非对称惩罚 Score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指标单元测试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输出物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history.csv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metrics.json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predictions.csv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comparison_metrics.csv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集成测试和确认测试报告</w:t>
            </w:r>
          </w:p>
        </w:tc>
      </w:tr>
    </w:tbl>
    <w:bookmarkEnd w:id="34"/>
    <w:bookmarkStart w:id="35" w:name="结论"/>
    <w:p>
      <w:pPr>
        <w:pStyle w:val="Heading2"/>
      </w:pPr>
      <w:r>
        <w:rPr>
          <w:rFonts w:ascii="宋体" w:hAnsi="宋体" w:eastAsia="宋体"/>
          <w:color w:val="000000"/>
        </w:rPr>
        <w:t xml:space="preserve">9. 结论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本文档从用例、类关系、调用顺序、组件边界和部署方式五个角度说明了系统设计。整体设计以 RUL 预测主线为中心，将数据集差异收敛到 loader，将特征和标签构造独立成层，将训练、测试、评价和展示解耦，能够支撑课程要求的实现、测试、复现和文档交付。</w:t>
      </w:r>
    </w:p>
    <w:bookmarkEnd w:id="35"/>
    <w:bookmarkEnd w:id="36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2" Type="http://schemas.openxmlformats.org/officeDocument/2006/relationships/image" Target="media/rId32.png"/><Relationship Id="rId28" Type="http://schemas.openxmlformats.org/officeDocument/2006/relationships/image" Target="media/rId28.png"/><Relationship Id="rId24" Type="http://schemas.openxmlformats.org/officeDocument/2006/relationships/image" Target="media/rId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12_UML设计文档</dc:title>
  <dc:creator>zyj、cyy、zdh、zy</dc:creator>
  <cp:keywords>RUL, 预测性维护, 工业轴承, 软件工程</cp:keywords>
  <dcterms:created xsi:type="dcterms:W3CDTF">2026-06-14T15:43:50Z</dcterms:created>
  <dcterms:modified xsi:type="dcterms:W3CDTF">2026-06-14T15:43:50Z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