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4" w:name="轴承寿命预测与故障诊断系统srs规格说明文档"/>
    <w:p>
      <w:pPr>
        <w:pStyle w:val="Heading1"/>
      </w:pPr>
      <w:r>
        <w:t xml:space="preserve">轴承寿命预测与故障诊断系统：SRS规格说明文档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字段</w:t>
            </w:r>
          </w:p>
        </w:tc>
        <w:tc>
          <w:p>
            <w:pPr>
              <w:pStyle w:val="Compact"/>
              <w:jc w:val="left"/>
            </w:pPr>
            <w:r>
              <w:t xml:space="preserve">内容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项目名称</w:t>
            </w:r>
          </w:p>
        </w:tc>
        <w:tc>
          <w:p>
            <w:pPr>
              <w:pStyle w:val="Compact"/>
              <w:jc w:val="left"/>
            </w:pPr>
            <w:r>
              <w:t xml:space="preserve">轴承寿命预测与故障诊断系统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小组成员</w:t>
            </w:r>
          </w:p>
        </w:tc>
        <w:tc>
          <w:p>
            <w:pPr>
              <w:pStyle w:val="Compact"/>
              <w:jc w:val="left"/>
            </w:pPr>
            <w:r>
              <w:t xml:space="preserve">zyj、zdh、cyj、zy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组长</w:t>
            </w:r>
          </w:p>
        </w:tc>
        <w:tc>
          <w:p>
            <w:pPr>
              <w:pStyle w:val="Compact"/>
              <w:jc w:val="left"/>
            </w:pPr>
            <w:r>
              <w:t xml:space="preserve">zyj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文档版本</w:t>
            </w:r>
          </w:p>
        </w:tc>
        <w:tc>
          <w:p>
            <w:pPr>
              <w:pStyle w:val="Compact"/>
              <w:jc w:val="left"/>
            </w:pPr>
            <w:r>
              <w:t xml:space="preserve">v1.0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日期</w:t>
            </w:r>
          </w:p>
        </w:tc>
        <w:tc>
          <w:p>
            <w:pPr>
              <w:pStyle w:val="Compact"/>
              <w:jc w:val="left"/>
            </w:pPr>
            <w:r>
              <w:t xml:space="preserve">2026年6月</w:t>
            </w:r>
          </w:p>
        </w:tc>
      </w:tr>
    </w:tbl>
    <w:bookmarkStart w:id="20" w:name="项目概述"/>
    <w:p>
      <w:pPr>
        <w:pStyle w:val="Heading2"/>
      </w:pPr>
      <w:r>
        <w:t xml:space="preserve">项目概述</w:t>
      </w:r>
    </w:p>
    <w:p>
      <w:pPr>
        <w:pStyle w:val="FirstParagraph"/>
      </w:pPr>
      <w:r>
        <w:t xml:space="preserve">本项目面向轴承预测性维护课程场景，建设一个可运行、可测试、可复查的轴承寿命预测与故障诊断系统。系统围绕两个公开数据集展开：PHM2012 用于剩余寿命 RUL 回归复现，XJTU-SY 用于健康/故障诊断复现。项目重点不是搭建在线工业平台，而是在本地工程环境中形成从数据接入、特征工程、模型训练到评估输出的闭环证据链。</w:t>
      </w:r>
    </w:p>
    <w:p>
      <w:pPr>
        <w:pStyle w:val="BodyText"/>
      </w:pPr>
      <w:r>
        <w:t xml:space="preserve">当前代码采用 Python 3.11、uv 包管理和 PyTorch 2.10 依赖范围。系统通过</w:t>
      </w:r>
      <w:r>
        <w:t xml:space="preserve"> </w:t>
      </w:r>
      <w:r>
        <w:rPr>
          <w:rStyle w:val="VerbatimChar"/>
        </w:rPr>
        <w:t xml:space="preserve">phm</w:t>
      </w:r>
      <w:r>
        <w:t xml:space="preserve"> </w:t>
      </w:r>
      <w:r>
        <w:t xml:space="preserve">命令运行分析、训练和 benchmark，示例代码推荐通过</w:t>
      </w:r>
      <w:r>
        <w:t xml:space="preserve"> </w:t>
      </w:r>
      <w:r>
        <w:rPr>
          <w:rStyle w:val="VerbatimChar"/>
        </w:rPr>
        <w:t xml:space="preserve">from phm...</w:t>
      </w:r>
      <w:r>
        <w:t xml:space="preserve"> </w:t>
      </w:r>
      <w:r>
        <w:t xml:space="preserve">导入。数据路径通过</w:t>
      </w:r>
      <w:r>
        <w:t xml:space="preserve"> </w:t>
      </w:r>
      <w:r>
        <w:rPr>
          <w:rStyle w:val="VerbatimChar"/>
        </w:rPr>
        <w:t xml:space="preserve">data/loader_roots/phm2012</w:t>
      </w:r>
      <w:r>
        <w:t xml:space="preserve"> </w:t>
      </w:r>
      <w:r>
        <w:t xml:space="preserve">与</w:t>
      </w:r>
      <w:r>
        <w:t xml:space="preserve"> </w:t>
      </w:r>
      <w:r>
        <w:rPr>
          <w:rStyle w:val="VerbatimChar"/>
        </w:rPr>
        <w:t xml:space="preserve">data/loader_roots/xjtu</w:t>
      </w:r>
      <w:r>
        <w:t xml:space="preserve"> </w:t>
      </w:r>
      <w:r>
        <w:t xml:space="preserve">映射到本地外部数据集，避免硬编码个人磁盘路径。</w:t>
      </w:r>
    </w:p>
    <w:bookmarkEnd w:id="20"/>
    <w:bookmarkStart w:id="21" w:name="功能需求"/>
    <w:p>
      <w:pPr>
        <w:pStyle w:val="Heading2"/>
      </w:pPr>
      <w:r>
        <w:t xml:space="preserve">功能需求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优先级</w:t>
            </w:r>
          </w:p>
        </w:tc>
        <w:tc>
          <w:p>
            <w:pPr>
              <w:pStyle w:val="Compact"/>
              <w:jc w:val="left"/>
            </w:pPr>
            <w:r>
              <w:t xml:space="preserve">验收方式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FR-01</w:t>
            </w:r>
          </w:p>
        </w:tc>
        <w:tc>
          <w:p>
            <w:pPr>
              <w:pStyle w:val="Compact"/>
              <w:jc w:val="left"/>
            </w:pPr>
            <w:r>
              <w:t xml:space="preserve">读取 PHM2012 与 XJTU-SY 数据集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Loader 测试与 CLI 运行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FR-02</w:t>
            </w:r>
          </w:p>
        </w:tc>
        <w:tc>
          <w:p>
            <w:pPr>
              <w:pStyle w:val="Compact"/>
              <w:jc w:val="left"/>
            </w:pPr>
            <w:r>
              <w:t xml:space="preserve">生成 FFT、时域、频域和频带能量特征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特征处理单元测试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FR-03</w:t>
            </w:r>
          </w:p>
        </w:tc>
        <w:tc>
          <w:p>
            <w:pPr>
              <w:pStyle w:val="Compact"/>
              <w:jc w:val="left"/>
            </w:pPr>
            <w:r>
              <w:t xml:space="preserve">构造 RUL 标签与健康/故障标签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数据集样本 shape 与标签检查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p>
            <w:pPr>
              <w:pStyle w:val="Compact"/>
              <w:jc w:val="left"/>
            </w:pPr>
            <w:r>
              <w:t xml:space="preserve">训练 CBAM-CNN-LSTM RUL 模型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输出 MSE、RMSE、MAE、R2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p>
            <w:pPr>
              <w:pStyle w:val="Compact"/>
              <w:jc w:val="left"/>
            </w:pPr>
            <w:r>
              <w:t xml:space="preserve">训练 ResCNN-LSTM 故障诊断模型</w:t>
            </w:r>
          </w:p>
        </w:tc>
        <w:tc>
          <w:p>
            <w:pPr>
              <w:pStyle w:val="Compact"/>
              <w:jc w:val="left"/>
            </w:pPr>
            <w:r>
              <w:t xml:space="preserve">高</w:t>
            </w:r>
          </w:p>
        </w:tc>
        <w:tc>
          <w:p>
            <w:pPr>
              <w:pStyle w:val="Compact"/>
              <w:jc w:val="left"/>
            </w:pPr>
            <w:r>
              <w:t xml:space="preserve">输出 accuracy、F1、混淆矩阵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p>
            <w:pPr>
              <w:pStyle w:val="Compact"/>
              <w:jc w:val="left"/>
            </w:pPr>
            <w:r>
              <w:t xml:space="preserve">支持 CLI 可视化展示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生成特征图、曲线图、热力图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FR-07</w:t>
            </w:r>
          </w:p>
        </w:tc>
        <w:tc>
          <w:p>
            <w:pPr>
              <w:pStyle w:val="Compact"/>
              <w:jc w:val="left"/>
            </w:pPr>
            <w:r>
              <w:t xml:space="preserve">支持缓存、日志和设备选择</w:t>
            </w:r>
          </w:p>
        </w:tc>
        <w:tc>
          <w:p>
            <w:pPr>
              <w:pStyle w:val="Compact"/>
              <w:jc w:val="left"/>
            </w:pPr>
            <w:r>
              <w:t xml:space="preserve">中</w:t>
            </w:r>
          </w:p>
        </w:tc>
        <w:tc>
          <w:p>
            <w:pPr>
              <w:pStyle w:val="Compact"/>
              <w:jc w:val="left"/>
            </w:pPr>
            <w:r>
              <w:t xml:space="preserve">训练日志和缓存路径检查</w:t>
            </w:r>
          </w:p>
        </w:tc>
      </w:tr>
    </w:tbl>
    <w:bookmarkEnd w:id="21"/>
    <w:bookmarkStart w:id="22" w:name="非功能需求"/>
    <w:p>
      <w:pPr>
        <w:pStyle w:val="Heading2"/>
      </w:pPr>
      <w:r>
        <w:t xml:space="preserve">非功能需求</w:t>
      </w:r>
    </w:p>
    <w:tbl>
      <w:tblPr>
        <w:tblStyle w:val="Table"/>
        <w:tblW w:type="pct" w:w="0.0"/>
        <w:tblLook w:firstRow="1" w:lastRow="0" w:firstColumn="0" w:lastColumn="0" w:noHBand="0" w:noVBand="0" w:val="0020"/>
      </w:tblPr>
      <w:tblGrid/>
      <w:tr>
        <w:tc>
          <w:p>
            <w:pPr>
              <w:pStyle w:val="Compact"/>
              <w:jc w:val="left"/>
            </w:pPr>
            <w:r>
              <w:t xml:space="preserve">编号</w:t>
            </w:r>
          </w:p>
        </w:tc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约束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NFR-01</w:t>
            </w:r>
          </w:p>
        </w:tc>
        <w:tc>
          <w:p>
            <w:pPr>
              <w:pStyle w:val="Compact"/>
              <w:jc w:val="left"/>
            </w:pPr>
            <w:r>
              <w:t xml:space="preserve">可复现性</w:t>
            </w:r>
          </w:p>
        </w:tc>
        <w:tc>
          <w:p>
            <w:pPr>
              <w:pStyle w:val="Compact"/>
              <w:jc w:val="left"/>
            </w:pPr>
            <w:r>
              <w:t xml:space="preserve">Python 3.11、uv、</w:t>
            </w:r>
            <w:r>
              <w:rPr>
                <w:rStyle w:val="VerbatimChar"/>
              </w:rPr>
              <w:t xml:space="preserve">uv.lock</w:t>
            </w:r>
            <w:r>
              <w:t xml:space="preserve"> </w:t>
            </w:r>
            <w:r>
              <w:t xml:space="preserve">固化依赖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NFR-02</w:t>
            </w:r>
          </w:p>
        </w:tc>
        <w:tc>
          <w:p>
            <w:pPr>
              <w:pStyle w:val="Compact"/>
              <w:jc w:val="left"/>
            </w:pPr>
            <w:r>
              <w:t xml:space="preserve">可维护性</w:t>
            </w:r>
          </w:p>
        </w:tc>
        <w:tc>
          <w:p>
            <w:pPr>
              <w:pStyle w:val="Compact"/>
              <w:jc w:val="left"/>
            </w:pPr>
            <w:r>
              <w:t xml:space="preserve">源码按 data、model、engine、util 分层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NFR-03</w:t>
            </w:r>
          </w:p>
        </w:tc>
        <w:tc>
          <w:p>
            <w:pPr>
              <w:pStyle w:val="Compact"/>
              <w:jc w:val="left"/>
            </w:pPr>
            <w:r>
              <w:t xml:space="preserve">可测试性</w:t>
            </w:r>
          </w:p>
        </w:tc>
        <w:tc>
          <w:p>
            <w:pPr>
              <w:pStyle w:val="Compact"/>
              <w:jc w:val="left"/>
            </w:pPr>
            <w:r>
              <w:t xml:space="preserve">单元、集成、确认测试均有文档与命令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NFR-04</w:t>
            </w:r>
          </w:p>
        </w:tc>
        <w:tc>
          <w:p>
            <w:pPr>
              <w:pStyle w:val="Compact"/>
              <w:jc w:val="left"/>
            </w:pPr>
            <w:r>
              <w:t xml:space="preserve">可移植性</w:t>
            </w:r>
          </w:p>
        </w:tc>
        <w:tc>
          <w:p>
            <w:pPr>
              <w:pStyle w:val="Compact"/>
              <w:jc w:val="left"/>
            </w:pPr>
            <w:r>
              <w:t xml:space="preserve">数据路径不写个人磁盘，统一使用</w:t>
            </w:r>
            <w:r>
              <w:t xml:space="preserve"> </w:t>
            </w:r>
            <w:r>
              <w:rPr>
                <w:rStyle w:val="VerbatimChar"/>
              </w:rPr>
              <w:t xml:space="preserve">data/loader_roots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NFR-05</w:t>
            </w:r>
          </w:p>
        </w:tc>
        <w:tc>
          <w:p>
            <w:pPr>
              <w:pStyle w:val="Compact"/>
              <w:jc w:val="left"/>
            </w:pPr>
            <w:r>
              <w:t xml:space="preserve">可解释性</w:t>
            </w:r>
          </w:p>
        </w:tc>
        <w:tc>
          <w:p>
            <w:pPr>
              <w:pStyle w:val="Compact"/>
              <w:jc w:val="left"/>
            </w:pPr>
            <w:r>
              <w:t xml:space="preserve">输出指标图、特征图和混淆矩阵</w:t>
            </w:r>
          </w:p>
        </w:tc>
      </w:tr>
    </w:tbl>
    <w:bookmarkEnd w:id="22"/>
    <w:bookmarkStart w:id="23" w:name="需求追踪"/>
    <w:p>
      <w:pPr>
        <w:pStyle w:val="Heading2"/>
      </w:pPr>
      <w:r>
        <w:t xml:space="preserve">需求追踪</w:t>
      </w:r>
    </w:p>
    <w:tbl>
      <w:tblPr>
        <w:tblStyle w:val="Table"/>
        <w:tblW w:type="pct" w:w="5000.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c>
          <w:p>
            <w:pPr>
              <w:pStyle w:val="Compact"/>
              <w:jc w:val="left"/>
            </w:pPr>
            <w:r>
              <w:t xml:space="preserve">需求</w:t>
            </w:r>
          </w:p>
        </w:tc>
        <w:tc>
          <w:p>
            <w:pPr>
              <w:pStyle w:val="Compact"/>
              <w:jc w:val="left"/>
            </w:pPr>
            <w:r>
              <w:t xml:space="preserve">设计/实现位置</w:t>
            </w:r>
          </w:p>
        </w:tc>
        <w:tc>
          <w:p>
            <w:pPr>
              <w:pStyle w:val="Compact"/>
              <w:jc w:val="left"/>
            </w:pPr>
            <w:r>
              <w:t xml:space="preserve">测试证据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FR-01/FR-02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phm.data</w:t>
            </w:r>
            <w:r>
              <w:t xml:space="preserve">、</w:t>
            </w:r>
            <w:r>
              <w:rPr>
                <w:rStyle w:val="VerbatimChar"/>
              </w:rPr>
              <w:t xml:space="preserve">phm.data.process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tests/test_feature_processors.py</w:t>
            </w:r>
            <w:r>
              <w:t xml:space="preserve">、CLI smoke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FR-04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phm.model.paper.PaperCBAMCNNLSTMRegressor</w:t>
            </w:r>
          </w:p>
        </w:tc>
        <w:tc>
          <w:p>
            <w:pPr>
              <w:pStyle w:val="Compact"/>
              <w:jc w:val="left"/>
            </w:pPr>
            <w:r>
              <w:t xml:space="preserve">PHM2012 RUL CLI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FR-05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phm.model.paper.ResCNNLSTMClassifier</w:t>
            </w:r>
          </w:p>
        </w:tc>
        <w:tc>
          <w:p>
            <w:pPr>
              <w:pStyle w:val="Compact"/>
              <w:jc w:val="left"/>
            </w:pPr>
            <w:r>
              <w:t xml:space="preserve">XJTU-SY Fault CLI</w:t>
            </w:r>
          </w:p>
        </w:tc>
      </w:tr>
      <w:tr>
        <w:tc>
          <w:p>
            <w:pPr>
              <w:pStyle w:val="Compact"/>
              <w:jc w:val="left"/>
            </w:pPr>
            <w:r>
              <w:t xml:space="preserve">FR-06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examples/3-papers</w:t>
            </w:r>
          </w:p>
        </w:tc>
        <w:tc>
          <w:p>
            <w:pPr>
              <w:pStyle w:val="Compact"/>
              <w:jc w:val="left"/>
            </w:pPr>
            <w:r>
              <w:rPr>
                <w:rStyle w:val="VerbatimChar"/>
              </w:rPr>
              <w:t xml:space="preserve">docx/img</w:t>
            </w:r>
            <w:r>
              <w:t xml:space="preserve"> </w:t>
            </w:r>
            <w:r>
              <w:t xml:space="preserve">图表</w:t>
            </w:r>
          </w:p>
        </w:tc>
      </w:tr>
    </w:tbl>
    <w:bookmarkEnd w:id="23"/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2026-06-18T07:52:08Z</dcterms:created>
  <dcterms:modified xsi:type="dcterms:W3CDTF">2026-06-18T07:52:08Z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