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项目管理计划文档"/>
    <w:p>
      <w:pPr>
        <w:pStyle w:val="Heading1"/>
      </w:pPr>
      <w:r>
        <w:t xml:space="preserve">轴承寿命预测与故障诊断系统：项目管理计划文档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课程要求梳理"/>
    <w:p>
      <w:pPr>
        <w:pStyle w:val="Heading2"/>
      </w:pPr>
      <w:r>
        <w:t xml:space="preserve">课程要求梳理</w:t>
      </w:r>
    </w:p>
    <w:p>
      <w:pPr>
        <w:pStyle w:val="FirstParagraph"/>
      </w:pPr>
      <w:r>
        <w:t xml:space="preserve">根据《工程实践各阶段要求》和《工程实践管理规范2025》，本项目按开题、中期、结题三个阶段组织材料。开题阶段需要完成技术预研、需求分析、SRS、确认测试计划和项目管理计划；中期阶段需要提交设计文档、单元测试计划、集成测试计划、编码规范、UML 设计和核心代码；结题阶段需要提交结题报告、测试报告、用户手册、安装配置手册、项目技术论文、源码和成员贡献说明。答辩材料需要服务于演示，不替代正文文档。</w:t>
      </w:r>
    </w:p>
    <w:p>
      <w:pPr>
        <w:pStyle w:val="BodyText"/>
      </w:pPr>
      <w:r>
        <w:t xml:space="preserve">本仓库当前交付采用</w:t>
      </w:r>
      <w:r>
        <w:t xml:space="preserve"> </w:t>
      </w:r>
      <w:r>
        <w:rPr>
          <w:rStyle w:val="VerbatimChar"/>
        </w:rPr>
        <w:t xml:space="preserve">docx/md</w:t>
      </w:r>
      <w:r>
        <w:t xml:space="preserve">、</w:t>
      </w:r>
      <w:r>
        <w:rPr>
          <w:rStyle w:val="VerbatimChar"/>
        </w:rPr>
        <w:t xml:space="preserve">docx/word</w:t>
      </w:r>
      <w:r>
        <w:t xml:space="preserve">、</w:t>
      </w:r>
      <w:r>
        <w:rPr>
          <w:rStyle w:val="VerbatimChar"/>
        </w:rPr>
        <w:t xml:space="preserve">docx/pdf</w:t>
      </w:r>
      <w:r>
        <w:t xml:space="preserve">、</w:t>
      </w:r>
      <w:r>
        <w:rPr>
          <w:rStyle w:val="VerbatimChar"/>
        </w:rPr>
        <w:t xml:space="preserve">docx/img</w:t>
      </w:r>
      <w:r>
        <w:t xml:space="preserve"> </w:t>
      </w:r>
      <w:r>
        <w:t xml:space="preserve">四类目录保存源文档、Word、PDF 和图表。代码托管使用 GitHub 仓库</w:t>
      </w:r>
      <w:r>
        <w:t xml:space="preserve"> </w:t>
      </w:r>
      <w:r>
        <w:rPr>
          <w:rStyle w:val="VerbatimChar"/>
        </w:rPr>
        <w:t xml:space="preserve">nev8r/phm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分支，依赖与环境通过</w:t>
      </w:r>
      <w:r>
        <w:t xml:space="preserve"> </w:t>
      </w:r>
      <w:r>
        <w:rPr>
          <w:rStyle w:val="VerbatimChar"/>
        </w:rPr>
        <w:t xml:space="preserve">uv</w:t>
      </w:r>
      <w:r>
        <w:t xml:space="preserve">、</w:t>
      </w:r>
      <w:r>
        <w:rPr>
          <w:rStyle w:val="VerbatimChar"/>
        </w:rPr>
        <w:t xml:space="preserve">.python-version</w:t>
      </w:r>
      <w:r>
        <w:t xml:space="preserve">、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固化。</w:t>
      </w:r>
    </w:p>
    <w:bookmarkEnd w:id="20"/>
    <w:bookmarkStart w:id="21" w:name="wbs"/>
    <w:p>
      <w:pPr>
        <w:pStyle w:val="Heading2"/>
      </w:pPr>
      <w:r>
        <w:t xml:space="preserve">WBS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p>
            <w:pPr>
              <w:pStyle w:val="Compact"/>
              <w:jc w:val="left"/>
            </w:pPr>
            <w:r>
              <w:t xml:space="preserve">工作包</w:t>
            </w:r>
          </w:p>
        </w:tc>
        <w:tc>
          <w:p>
            <w:pPr>
              <w:pStyle w:val="Compact"/>
              <w:jc w:val="left"/>
            </w:pPr>
            <w:r>
              <w:t xml:space="preserve">负责人</w:t>
            </w:r>
          </w:p>
        </w:tc>
        <w:tc>
          <w:p>
            <w:pPr>
              <w:pStyle w:val="Compact"/>
              <w:jc w:val="left"/>
            </w:pPr>
            <w:r>
              <w:t xml:space="preserve">主要产出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数据接入与标签</w:t>
            </w:r>
          </w:p>
        </w:tc>
        <w:tc>
          <w:p>
            <w:pPr>
              <w:pStyle w:val="Compact"/>
              <w:jc w:val="left"/>
            </w:pPr>
            <w:r>
              <w:t xml:space="preserve">cyj</w:t>
            </w:r>
          </w:p>
        </w:tc>
        <w:tc>
          <w:p>
            <w:pPr>
              <w:pStyle w:val="Compact"/>
              <w:jc w:val="left"/>
            </w:pPr>
            <w:r>
              <w:t xml:space="preserve">PHM2012/XJTU Loader、标签构造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特征工程</w:t>
            </w:r>
          </w:p>
        </w:tc>
        <w:tc>
          <w:p>
            <w:pPr>
              <w:pStyle w:val="Compact"/>
              <w:jc w:val="left"/>
            </w:pPr>
            <w:r>
              <w:t xml:space="preserve">cyj、zy</w:t>
            </w:r>
          </w:p>
        </w:tc>
        <w:tc>
          <w:p>
            <w:pPr>
              <w:pStyle w:val="Compact"/>
              <w:jc w:val="left"/>
            </w:pPr>
            <w:r>
              <w:t xml:space="preserve">FFT、时域、频域、频带能量处理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模型实现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  <w:tc>
          <w:p>
            <w:pPr>
              <w:pStyle w:val="Compact"/>
              <w:jc w:val="left"/>
            </w:pPr>
            <w:r>
              <w:t xml:space="preserve">CBAM-CNN-LSTM、ResCNN-LSTM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训练与评估</w:t>
            </w:r>
          </w:p>
        </w:tc>
        <w:tc>
          <w:p>
            <w:pPr>
              <w:pStyle w:val="Compact"/>
              <w:jc w:val="left"/>
            </w:pPr>
            <w:r>
              <w:t xml:space="preserve">zdh</w:t>
            </w:r>
          </w:p>
        </w:tc>
        <w:tc>
          <w:p>
            <w:pPr>
              <w:pStyle w:val="Compact"/>
              <w:jc w:val="left"/>
            </w:pPr>
            <w:r>
              <w:t xml:space="preserve">Trainer、Tester、指标与回调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CLI 与可视化</w:t>
            </w:r>
          </w:p>
        </w:tc>
        <w:tc>
          <w:p>
            <w:pPr>
              <w:pStyle w:val="Compact"/>
              <w:jc w:val="left"/>
            </w:pPr>
            <w:r>
              <w:t xml:space="preserve">zy</w:t>
            </w:r>
          </w:p>
        </w:tc>
        <w:tc>
          <w:p>
            <w:pPr>
              <w:pStyle w:val="Compact"/>
              <w:jc w:val="left"/>
            </w:pPr>
            <w:r>
              <w:t xml:space="preserve">命令入口、图表、热力图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文档与答辩</w:t>
            </w:r>
          </w:p>
        </w:tc>
        <w:tc>
          <w:p>
            <w:pPr>
              <w:pStyle w:val="Compact"/>
              <w:jc w:val="left"/>
            </w:pPr>
            <w:r>
              <w:t xml:space="preserve">全员</w:t>
            </w:r>
          </w:p>
        </w:tc>
        <w:tc>
          <w:p>
            <w:pPr>
              <w:pStyle w:val="Compact"/>
              <w:jc w:val="left"/>
            </w:pPr>
            <w:r>
              <w:t xml:space="preserve">课程文档、技术论文、贡献说明</w:t>
            </w:r>
          </w:p>
        </w:tc>
      </w:tr>
    </w:tbl>
    <w:bookmarkEnd w:id="21"/>
    <w:bookmarkStart w:id="22" w:name="进度计划"/>
    <w:p>
      <w:pPr>
        <w:pStyle w:val="Heading2"/>
      </w:pPr>
      <w:r>
        <w:t xml:space="preserve">进度计划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p>
            <w:pPr>
              <w:pStyle w:val="Compact"/>
              <w:jc w:val="left"/>
            </w:pPr>
            <w:r>
              <w:t xml:space="preserve">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开题</w:t>
            </w:r>
          </w:p>
        </w:tc>
        <w:tc>
          <w:p>
            <w:pPr>
              <w:pStyle w:val="Compact"/>
              <w:jc w:val="left"/>
            </w:pPr>
            <w:r>
              <w:t xml:space="preserve">第1-2周</w:t>
            </w:r>
          </w:p>
        </w:tc>
        <w:tc>
          <w:p>
            <w:pPr>
              <w:pStyle w:val="Compact"/>
              <w:jc w:val="left"/>
            </w:pPr>
            <w:r>
              <w:t xml:space="preserve">完成需求、预研、SRS、确认测试计划和项目计划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中期</w:t>
            </w:r>
          </w:p>
        </w:tc>
        <w:tc>
          <w:p>
            <w:pPr>
              <w:pStyle w:val="Compact"/>
              <w:jc w:val="left"/>
            </w:pPr>
            <w:r>
              <w:t xml:space="preserve">第3-6周</w:t>
            </w:r>
          </w:p>
        </w:tc>
        <w:tc>
          <w:p>
            <w:pPr>
              <w:pStyle w:val="Compact"/>
              <w:jc w:val="left"/>
            </w:pPr>
            <w:r>
              <w:t xml:space="preserve">完成核心代码、设计文档、测试计划和编码规范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结题</w:t>
            </w:r>
          </w:p>
        </w:tc>
        <w:tc>
          <w:p>
            <w:pPr>
              <w:pStyle w:val="Compact"/>
              <w:jc w:val="left"/>
            </w:pPr>
            <w:r>
              <w:t xml:space="preserve">第7-8周</w:t>
            </w:r>
          </w:p>
        </w:tc>
        <w:tc>
          <w:p>
            <w:pPr>
              <w:pStyle w:val="Compact"/>
              <w:jc w:val="left"/>
            </w:pPr>
            <w:r>
              <w:t xml:space="preserve">完成主线复现、测试报告、用户手册、技术论文和答辩材料</w:t>
            </w:r>
          </w:p>
        </w:tc>
      </w:tr>
    </w:tbl>
    <w:bookmarkEnd w:id="22"/>
    <w:bookmarkStart w:id="23" w:name="风险管理"/>
    <w:p>
      <w:pPr>
        <w:pStyle w:val="Heading2"/>
      </w:pPr>
      <w:r>
        <w:t xml:space="preserve">风险管理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风险</w:t>
            </w:r>
          </w:p>
        </w:tc>
        <w:tc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p>
            <w:pPr>
              <w:pStyle w:val="Compact"/>
              <w:jc w:val="left"/>
            </w:pPr>
            <w:r>
              <w:t xml:space="preserve">应对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数据路径不一致</w:t>
            </w:r>
          </w:p>
        </w:tc>
        <w:tc>
          <w:p>
            <w:pPr>
              <w:pStyle w:val="Compact"/>
              <w:jc w:val="left"/>
            </w:pPr>
            <w:r>
              <w:t xml:space="preserve">CLI 无法运行</w:t>
            </w:r>
          </w:p>
        </w:tc>
        <w:tc>
          <w:p>
            <w:pPr>
              <w:pStyle w:val="Compact"/>
              <w:jc w:val="left"/>
            </w:pPr>
            <w:r>
              <w:t xml:space="preserve">统一</w:t>
            </w:r>
            <w:r>
              <w:t xml:space="preserve"> </w:t>
            </w:r>
            <w:r>
              <w:rPr>
                <w:rStyle w:val="VerbatimChar"/>
              </w:rPr>
              <w:t xml:space="preserve">data/loader_roots</w:t>
            </w:r>
            <w:r>
              <w:t xml:space="preserve">，禁止写个人磁盘绝对路径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本地算力不足</w:t>
            </w:r>
          </w:p>
        </w:tc>
        <w:tc>
          <w:p>
            <w:pPr>
              <w:pStyle w:val="Compact"/>
              <w:jc w:val="left"/>
            </w:pPr>
            <w:r>
              <w:t xml:space="preserve">训练时间过长</w:t>
            </w:r>
          </w:p>
        </w:tc>
        <w:tc>
          <w:p>
            <w:pPr>
              <w:pStyle w:val="Compact"/>
              <w:jc w:val="left"/>
            </w:pPr>
            <w:r>
              <w:t xml:space="preserve">先跑 RUL 主线，再跑故障诊断；保留 epoch 与指标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指标与论文差距</w:t>
            </w:r>
          </w:p>
        </w:tc>
        <w:tc>
          <w:p>
            <w:pPr>
              <w:pStyle w:val="Compact"/>
              <w:jc w:val="left"/>
            </w:pPr>
            <w:r>
              <w:t xml:space="preserve">答辩解释困难</w:t>
            </w:r>
          </w:p>
        </w:tc>
        <w:tc>
          <w:p>
            <w:pPr>
              <w:pStyle w:val="Compact"/>
              <w:jc w:val="left"/>
            </w:pPr>
            <w:r>
              <w:t xml:space="preserve">文档区分结构复现、本地复现和论文原始指标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依赖漂移</w:t>
            </w:r>
          </w:p>
        </w:tc>
        <w:tc>
          <w:p>
            <w:pPr>
              <w:pStyle w:val="Compact"/>
              <w:jc w:val="left"/>
            </w:pPr>
            <w:r>
              <w:t xml:space="preserve">环境不可复现</w:t>
            </w:r>
          </w:p>
        </w:tc>
        <w:tc>
          <w:p>
            <w:pPr>
              <w:pStyle w:val="Compact"/>
              <w:jc w:val="left"/>
            </w:pPr>
            <w:r>
              <w:t xml:space="preserve">使用 uv 与锁文件，安装配置手册写明版本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2026-06-18T07:52:15Z</dcterms:created>
  <dcterms:modified xsi:type="dcterms:W3CDTF">2026-06-18T07:52:15Z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