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轴承寿命预测与故障诊断系统设计文档"/>
    <w:p>
      <w:pPr>
        <w:pStyle w:val="Heading1"/>
      </w:pPr>
      <w:r>
        <w:t xml:space="preserve">轴承寿命预测与故障诊断系统：设计文档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轴承寿命预测与故障诊断系统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小组成员</w:t>
            </w:r>
          </w:p>
        </w:tc>
        <w:tc>
          <w:p>
            <w:pPr>
              <w:pStyle w:val="Compact"/>
              <w:jc w:val="left"/>
            </w:pPr>
            <w:r>
              <w:t xml:space="preserve">zyj、zdh、cyj、zy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组长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2026年6月</w:t>
            </w:r>
          </w:p>
        </w:tc>
      </w:tr>
    </w:tbl>
    <w:bookmarkStart w:id="21" w:name="总体架构"/>
    <w:p>
      <w:pPr>
        <w:pStyle w:val="Heading2"/>
      </w:pPr>
      <w:r>
        <w:t xml:space="preserve">总体架构</w:t>
      </w:r>
    </w:p>
    <w:p>
      <w:pPr>
        <w:pStyle w:val="FirstParagraph"/>
      </w:pPr>
      <w:r>
        <w:t xml:space="preserve">系统采用分层设计：</w:t>
      </w:r>
      <w:r>
        <w:rPr>
          <w:rStyle w:val="VerbatimChar"/>
        </w:rPr>
        <w:t xml:space="preserve">data</w:t>
      </w:r>
      <w:r>
        <w:t xml:space="preserve"> </w:t>
      </w:r>
      <w:r>
        <w:t xml:space="preserve">负责数据读取、实体抽象和标签；</w:t>
      </w:r>
      <w:r>
        <w:rPr>
          <w:rStyle w:val="VerbatimChar"/>
        </w:rPr>
        <w:t xml:space="preserve">data.process</w:t>
      </w:r>
      <w:r>
        <w:t xml:space="preserve"> </w:t>
      </w:r>
      <w:r>
        <w:t xml:space="preserve">负责信号特征工程；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负责神经网络结构；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负责训练、评估、指标和回调；</w:t>
      </w:r>
      <w:r>
        <w:rPr>
          <w:rStyle w:val="VerbatimChar"/>
        </w:rPr>
        <w:t xml:space="preserve">util</w:t>
      </w:r>
      <w:r>
        <w:t xml:space="preserve"> </w:t>
      </w:r>
      <w:r>
        <w:t xml:space="preserve">负责日志、设备、缓存和图表辅助；CLI 负责统一组织分析、训练、benchmark 与报告输出。</w:t>
      </w:r>
    </w:p>
    <w:p>
      <w:pPr>
        <w:pStyle w:val="CaptionedFigure"/>
      </w:pPr>
      <w:r>
        <w:drawing>
          <wp:inline>
            <wp:extent cx="5334000" cy="2844800"/>
            <wp:effectExtent b="0" l="0" r="0" t="0"/>
            <wp:docPr descr="系统 UML 架构图" title="" id="1" name="Picture"/>
            <a:graphic>
              <a:graphicData uri="http://schemas.openxmlformats.org/drawingml/2006/picture">
                <pic:pic>
                  <pic:nvPicPr>
                    <pic:cNvPr descr="../img/uml_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系统 UML 架构图</w:t>
      </w:r>
    </w:p>
    <w:bookmarkEnd w:id="21"/>
    <w:bookmarkStart w:id="23" w:name="数据设计"/>
    <w:p>
      <w:pPr>
        <w:pStyle w:val="Heading2"/>
      </w:pPr>
      <w:r>
        <w:t xml:space="preserve">数据设计</w:t>
      </w:r>
    </w:p>
    <w:p>
      <w:pPr>
        <w:pStyle w:val="FirstParagraph"/>
      </w:pPr>
      <w:r>
        <w:t xml:space="preserve">PHM2012 与 XJTU-SY 的原始目录结构不同，但进入训练前统一为特征数组、标签数组、样本窗口和元数据。RUL 样本以相对寿命作为回归标签；故障诊断样本使用 3σ 首次越界点构造 Healthy/Faulty 标签。</w:t>
      </w:r>
    </w:p>
    <w:p>
      <w:pPr>
        <w:pStyle w:val="CaptionedFigure"/>
      </w:pPr>
      <w:r>
        <w:drawing>
          <wp:inline>
            <wp:extent cx="5334000" cy="2542289"/>
            <wp:effectExtent b="0" l="0" r="0" t="0"/>
            <wp:docPr descr="数据流图" title="" id="1" name="Picture"/>
            <a:graphic>
              <a:graphicData uri="http://schemas.openxmlformats.org/drawingml/2006/picture">
                <pic:pic>
                  <pic:nvPicPr>
                    <pic:cNvPr descr="../img/data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2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数据流图</w:t>
      </w:r>
    </w:p>
    <w:bookmarkEnd w:id="23"/>
    <w:bookmarkStart w:id="24" w:name="模型设计"/>
    <w:p>
      <w:pPr>
        <w:pStyle w:val="Heading2"/>
      </w:pPr>
      <w:r>
        <w:t xml:space="preserve">模型设计</w:t>
      </w:r>
    </w:p>
    <w:p>
      <w:pPr>
        <w:pStyle w:val="FirstParagraph"/>
      </w:pPr>
      <w:r>
        <w:t xml:space="preserve">CBAM-CNN-LSTM 使用卷积抽取局部频域形态，CBAM 对通道和时间位置加权，LSTM 聚合 32 个快照的退化序列，最后输出归一化 RUL。ResCNN-LSTM 使用残差卷积块处理 552 维特征序列，LSTM 聚合 8 个快照窗口，分类头输出健康/故障二分类 logits。</w:t>
      </w:r>
    </w:p>
    <w:bookmarkEnd w:id="24"/>
    <w:bookmarkStart w:id="25" w:name="接口设计"/>
    <w:p>
      <w:pPr>
        <w:pStyle w:val="Heading2"/>
      </w:pPr>
      <w:r>
        <w:t xml:space="preserve">接口设计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p>
            <w:pPr>
              <w:pStyle w:val="Compact"/>
              <w:jc w:val="left"/>
            </w:pPr>
            <w:r>
              <w:t xml:space="preserve">主要接口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p>
            <w:pPr>
              <w:pStyle w:val="Compact"/>
              <w:jc w:val="left"/>
            </w:pPr>
            <w:r>
              <w:t xml:space="preserve">Loader、Dataset、Labeler</w:t>
            </w:r>
          </w:p>
        </w:tc>
        <w:tc>
          <w:p>
            <w:pPr>
              <w:pStyle w:val="Compact"/>
              <w:jc w:val="left"/>
            </w:pPr>
            <w:r>
              <w:t xml:space="preserve">统一数据输入与标签构造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特征</w:t>
            </w:r>
          </w:p>
        </w:tc>
        <w:tc>
          <w:p>
            <w:pPr>
              <w:pStyle w:val="Compact"/>
              <w:jc w:val="left"/>
            </w:pPr>
            <w:r>
              <w:t xml:space="preserve">Processor</w:t>
            </w:r>
          </w:p>
        </w:tc>
        <w:tc>
          <w:p>
            <w:pPr>
              <w:pStyle w:val="Compact"/>
              <w:jc w:val="left"/>
            </w:pPr>
            <w:r>
              <w:t xml:space="preserve">所有处理器暴露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风格方法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模型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forward(x)</w:t>
            </w:r>
          </w:p>
        </w:tc>
        <w:tc>
          <w:p>
            <w:pPr>
              <w:pStyle w:val="Compact"/>
              <w:jc w:val="left"/>
            </w:pPr>
            <w:r>
              <w:t xml:space="preserve">保持 PyTorch 标准接口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训练</w:t>
            </w:r>
          </w:p>
        </w:tc>
        <w:tc>
          <w:p>
            <w:pPr>
              <w:pStyle w:val="Compact"/>
              <w:jc w:val="left"/>
            </w:pPr>
            <w:r>
              <w:t xml:space="preserve">Trainer/Tester</w:t>
            </w:r>
          </w:p>
        </w:tc>
        <w:tc>
          <w:p>
            <w:pPr>
              <w:pStyle w:val="Compact"/>
              <w:jc w:val="left"/>
            </w:pPr>
            <w:r>
              <w:t xml:space="preserve">接收模型、数据、损失、指标和回调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phm analyze/train/benchmark/report</w:t>
            </w:r>
          </w:p>
        </w:tc>
        <w:tc>
          <w:p>
            <w:pPr>
              <w:pStyle w:val="Compact"/>
              <w:jc w:val="left"/>
            </w:pPr>
            <w:r>
              <w:t xml:space="preserve">统一运行数据分析、训练和评估</w:t>
            </w:r>
          </w:p>
        </w:tc>
      </w:tr>
    </w:tbl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2026-06-18T07:52:23Z</dcterms:created>
  <dcterms:modified xsi:type="dcterms:W3CDTF">2026-06-18T07:52:23Z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