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2) Implement a inter VLAN structure that has 2 VLANs VLAN 10 &amp; VLAN 20. VLAN 10 should contain mesh topology and VLAN 20 should contain ring topology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6278880" cy="43891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bookmarkStart w:colFirst="0" w:colLast="0" w:name="_a9ozniq8gy" w:id="0"/>
      <w:bookmarkEnd w:id="0"/>
      <w:r w:rsidDel="00000000" w:rsidR="00000000" w:rsidRPr="00000000">
        <w:rPr/>
        <w:drawing>
          <wp:inline distB="0" distT="0" distL="114300" distR="114300">
            <wp:extent cx="7108825" cy="64884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8825" cy="6488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