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6.png" ContentType="image/png"/>
  <Override PartName="/word/media/rId109.png" ContentType="image/png"/>
  <Override PartName="/word/media/rId28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 и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виртуальной машины</w:t>
      </w:r>
    </w:p>
    <w:p>
      <w:pPr>
        <w:numPr>
          <w:ilvl w:val="0"/>
          <w:numId w:val="1001"/>
        </w:numPr>
        <w:pStyle w:val="Compact"/>
      </w:pPr>
      <w:r>
        <w:t xml:space="preserve">Работа в операционной системе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 для создания документации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домашней работы</w:t>
      </w:r>
    </w:p>
    <w:p>
      <w:pPr>
        <w:numPr>
          <w:ilvl w:val="0"/>
          <w:numId w:val="1001"/>
        </w:numPr>
        <w:pStyle w:val="Compact"/>
      </w:pPr>
      <w:r>
        <w:t xml:space="preserve">Ответы на контрольные вопросы</w:t>
      </w:r>
    </w:p>
    <w:bookmarkEnd w:id="21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установка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виртуальной машины</w:t>
      </w:r>
    </w:p>
    <w:p>
      <w:pPr>
        <w:pStyle w:val="FirstParagraph"/>
      </w:pPr>
      <w:r>
        <w:t xml:space="preserve">Для работы в ОС Linux я скачал файл ISO для системы Intel (Fedora Workstation 39) (рис. 1).</w:t>
      </w:r>
    </w:p>
    <w:p>
      <w:pPr>
        <w:pStyle w:val="CaptionedFigure"/>
      </w:pPr>
      <w:r>
        <w:drawing>
          <wp:inline>
            <wp:extent cx="3733800" cy="463169"/>
            <wp:effectExtent b="0" l="0" r="0" t="0"/>
            <wp:docPr descr="Файл IS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ISO</w:t>
      </w:r>
    </w:p>
    <w:p>
      <w:pPr>
        <w:pStyle w:val="BodyText"/>
      </w:pPr>
      <w:r>
        <w:t xml:space="preserve">Настраиваю хост-комбинацию, ставлю Right Ctrl (рис. 2).</w:t>
      </w:r>
    </w:p>
    <w:p>
      <w:pPr>
        <w:pStyle w:val="CaptionedFigure"/>
      </w:pPr>
      <w:r>
        <w:drawing>
          <wp:inline>
            <wp:extent cx="3626863" cy="2466574"/>
            <wp:effectExtent b="0" l="0" r="0" t="0"/>
            <wp:docPr descr="Настройка хост-комбинаци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246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хост-комбинации</w:t>
      </w:r>
    </w:p>
    <w:p>
      <w:pPr>
        <w:pStyle w:val="BodyText"/>
      </w:pPr>
      <w:r>
        <w:t xml:space="preserve">Нажимаю</w:t>
      </w:r>
      <w:r>
        <w:t xml:space="preserve"> </w:t>
      </w:r>
      <w:r>
        <w:t xml:space="preserve">“</w:t>
      </w:r>
      <w:r>
        <w:t xml:space="preserve">Создать виртуальную машину</w:t>
      </w:r>
      <w:r>
        <w:t xml:space="preserve">”</w:t>
      </w:r>
      <w:r>
        <w:t xml:space="preserve"> </w:t>
      </w:r>
      <w:r>
        <w:t xml:space="preserve">в VirtualBox Manager. Задаю имя, папку для виртуальной машины, прикрепляю образ ISO (рис. 3).</w:t>
      </w:r>
    </w:p>
    <w:p>
      <w:pPr>
        <w:pStyle w:val="CaptionedFigure"/>
      </w:pPr>
      <w:r>
        <w:drawing>
          <wp:inline>
            <wp:extent cx="3733800" cy="1350290"/>
            <wp:effectExtent b="0" l="0" r="0" t="0"/>
            <wp:docPr descr="Настройка виртуальной машин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виртуальной машины</w:t>
      </w:r>
    </w:p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Оборудование</w:t>
      </w:r>
      <w:r>
        <w:t xml:space="preserve">”</w:t>
      </w:r>
      <w:r>
        <w:t xml:space="preserve"> </w:t>
      </w:r>
      <w:r>
        <w:t xml:space="preserve">задаю 8096 Мб основной памяти и 4 ядра процессора (рис. 4).</w:t>
      </w:r>
    </w:p>
    <w:p>
      <w:pPr>
        <w:pStyle w:val="CaptionedFigure"/>
      </w:pPr>
      <w:r>
        <w:drawing>
          <wp:inline>
            <wp:extent cx="3733800" cy="969246"/>
            <wp:effectExtent b="0" l="0" r="0" t="0"/>
            <wp:docPr descr="Настройка виртуальной машин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виртуальной машины</w:t>
      </w:r>
    </w:p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Жёсткий диск</w:t>
      </w:r>
      <w:r>
        <w:t xml:space="preserve">”</w:t>
      </w:r>
      <w:r>
        <w:t xml:space="preserve"> </w:t>
      </w:r>
      <w:r>
        <w:t xml:space="preserve">создаю виртуальный жёсткий диск, выделяя на него 90 Гб (рис. 5).</w:t>
      </w:r>
    </w:p>
    <w:p>
      <w:pPr>
        <w:pStyle w:val="CaptionedFigure"/>
      </w:pPr>
      <w:r>
        <w:drawing>
          <wp:inline>
            <wp:extent cx="3733800" cy="2496531"/>
            <wp:effectExtent b="0" l="0" r="0" t="0"/>
            <wp:docPr descr="Настройка виртуальной машин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виртуальной машины</w:t>
      </w:r>
    </w:p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Общие</w:t>
      </w:r>
      <w:r>
        <w:t xml:space="preserve">”</w:t>
      </w:r>
      <w:r>
        <w:t xml:space="preserve"> </w:t>
      </w:r>
      <w:r>
        <w:t xml:space="preserve">настраиваю двунаправленный буфер обмена и функцию Drag’n’Drop (рис. 6).</w:t>
      </w:r>
    </w:p>
    <w:p>
      <w:pPr>
        <w:pStyle w:val="CaptionedFigure"/>
      </w:pPr>
      <w:r>
        <w:drawing>
          <wp:inline>
            <wp:extent cx="3733800" cy="1183424"/>
            <wp:effectExtent b="0" l="0" r="0" t="0"/>
            <wp:docPr descr="Настройка виртуальной машин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виртуальной машины</w:t>
      </w:r>
    </w:p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Дисплей</w:t>
      </w:r>
      <w:r>
        <w:t xml:space="preserve">”</w:t>
      </w:r>
      <w:r>
        <w:t xml:space="preserve"> </w:t>
      </w:r>
      <w:r>
        <w:t xml:space="preserve">выделяю 64 Мб на видеопамять (рис. 7).</w:t>
      </w:r>
    </w:p>
    <w:p>
      <w:pPr>
        <w:pStyle w:val="CaptionedFigure"/>
      </w:pPr>
      <w:r>
        <w:drawing>
          <wp:inline>
            <wp:extent cx="3733800" cy="2133599"/>
            <wp:effectExtent b="0" l="0" r="0" t="0"/>
            <wp:docPr descr="Настройка виртуальной машин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виртуальной машины</w:t>
      </w:r>
    </w:p>
    <w:p>
      <w:pPr>
        <w:pStyle w:val="BodyText"/>
      </w:pPr>
      <w:r>
        <w:t xml:space="preserve">Запускаю виртуальную машину, настраивая язык, дату и время и указывая место установки (автоматически) (рис. 8).</w:t>
      </w:r>
    </w:p>
    <w:p>
      <w:pPr>
        <w:pStyle w:val="CaptionedFigure"/>
      </w:pPr>
      <w:r>
        <w:drawing>
          <wp:inline>
            <wp:extent cx="3733800" cy="1780044"/>
            <wp:effectExtent b="0" l="0" r="0" t="0"/>
            <wp:docPr descr="Запуск виртуальной машин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виртуальной машины</w:t>
      </w:r>
    </w:p>
    <w:bookmarkEnd w:id="46"/>
    <w:bookmarkStart w:id="89" w:name="работа-в-операционной-систем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в операционной системе</w:t>
      </w:r>
    </w:p>
    <w:p>
      <w:pPr>
        <w:pStyle w:val="FirstParagraph"/>
      </w:pPr>
      <w:r>
        <w:t xml:space="preserve">Внутри операционной системы добавляю польззователя (рис. 9).</w:t>
      </w:r>
    </w:p>
    <w:p>
      <w:pPr>
        <w:pStyle w:val="CaptionedFigure"/>
      </w:pPr>
      <w:r>
        <w:drawing>
          <wp:inline>
            <wp:extent cx="3733800" cy="4795297"/>
            <wp:effectExtent b="0" l="0" r="0" t="0"/>
            <wp:docPr descr="Создание учётной запис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учётной записи</w:t>
      </w:r>
    </w:p>
    <w:p>
      <w:pPr>
        <w:pStyle w:val="BodyText"/>
      </w:pPr>
      <w:r>
        <w:t xml:space="preserve">Открываю терминал и переключаюсь на роль супер-пользователя с помощью команды</w:t>
      </w:r>
      <w:r>
        <w:t xml:space="preserve"> </w:t>
      </w:r>
      <w:r>
        <w:t xml:space="preserve">‘</w:t>
      </w:r>
      <w:r>
        <w:t xml:space="preserve">sudo -i</w:t>
      </w:r>
      <w:r>
        <w:t xml:space="preserve">’</w:t>
      </w:r>
      <w:r>
        <w:t xml:space="preserve"> </w:t>
      </w:r>
      <w:r>
        <w:t xml:space="preserve">и обновляю все пакеты (рис. 10).</w:t>
      </w:r>
    </w:p>
    <w:p>
      <w:pPr>
        <w:pStyle w:val="CaptionedFigure"/>
      </w:pPr>
      <w:r>
        <w:drawing>
          <wp:inline>
            <wp:extent cx="3733800" cy="1599479"/>
            <wp:effectExtent b="0" l="0" r="0" t="0"/>
            <wp:docPr descr="Обновление пакетов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Обновление пакетов</w:t>
      </w:r>
    </w:p>
    <w:p>
      <w:pPr>
        <w:pStyle w:val="BodyText"/>
      </w:pPr>
      <w:r>
        <w:t xml:space="preserve">Устанаваливаю программы для удобства работы в консоли (оболочка tmux и mc в качестве файлового менеджера) (рис. 11).</w:t>
      </w:r>
    </w:p>
    <w:p>
      <w:pPr>
        <w:pStyle w:val="CaptionedFigure"/>
      </w:pPr>
      <w:r>
        <w:drawing>
          <wp:inline>
            <wp:extent cx="3733800" cy="1576604"/>
            <wp:effectExtent b="0" l="0" r="0" t="0"/>
            <wp:docPr descr="Установка программ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программ</w:t>
      </w:r>
    </w:p>
    <w:p>
      <w:pPr>
        <w:pStyle w:val="BodyText"/>
      </w:pPr>
      <w:r>
        <w:t xml:space="preserve">Для использования автоматического обновления устанавливаем необходимое программное обеспечение (dnf-automatic)</w:t>
      </w:r>
      <w:r>
        <w:t xml:space="preserve"> </w:t>
      </w:r>
      <w:r>
        <w:t xml:space="preserve">(рис. 12).</w:t>
      </w:r>
    </w:p>
    <w:p>
      <w:pPr>
        <w:pStyle w:val="CaptionedFigure"/>
      </w:pPr>
      <w:r>
        <w:drawing>
          <wp:inline>
            <wp:extent cx="3733800" cy="1576604"/>
            <wp:effectExtent b="0" l="0" r="0" t="0"/>
            <wp:docPr descr="Установка программ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программ</w:t>
      </w:r>
    </w:p>
    <w:p>
      <w:pPr>
        <w:pStyle w:val="BodyText"/>
      </w:pPr>
      <w:r>
        <w:t xml:space="preserve">Задаю необходимую конфигурацию в файле /etc/dnf/automatic.conf и запускаю его(рис. 13).</w:t>
      </w:r>
    </w:p>
    <w:p>
      <w:pPr>
        <w:pStyle w:val="CaptionedFigure"/>
      </w:pPr>
      <w:r>
        <w:drawing>
          <wp:inline>
            <wp:extent cx="3733800" cy="1901472"/>
            <wp:effectExtent b="0" l="0" r="0" t="0"/>
            <wp:docPr descr="Настройка конфигураци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конфигураций</w:t>
      </w:r>
    </w:p>
    <w:p>
      <w:pPr>
        <w:pStyle w:val="BodyText"/>
      </w:pPr>
      <w:r>
        <w:t xml:space="preserve">Перезагружаю виртуальную машину (рис. 14).</w:t>
      </w:r>
    </w:p>
    <w:p>
      <w:pPr>
        <w:pStyle w:val="CaptionedFigure"/>
      </w:pPr>
      <w:r>
        <w:drawing>
          <wp:inline>
            <wp:extent cx="3733800" cy="388692"/>
            <wp:effectExtent b="0" l="0" r="0" t="0"/>
            <wp:docPr descr="Перезагрузка машин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Перезагрузка машины</w:t>
      </w:r>
    </w:p>
    <w:p>
      <w:pPr>
        <w:pStyle w:val="BodyText"/>
      </w:pPr>
      <w:r>
        <w:t xml:space="preserve">В файле /etc/selinux/config заменяю значение SELINUX=enforcing на значение SELINUX=permissive и перезагружаю машину (рис. 15).</w:t>
      </w:r>
    </w:p>
    <w:p>
      <w:pPr>
        <w:pStyle w:val="CaptionedFigure"/>
      </w:pPr>
      <w:r>
        <w:drawing>
          <wp:inline>
            <wp:extent cx="3733800" cy="2132069"/>
            <wp:effectExtent b="0" l="0" r="0" t="0"/>
            <wp:docPr descr="Настройка конфигураций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конфигураций</w:t>
      </w:r>
    </w:p>
    <w:p>
      <w:pPr>
        <w:pStyle w:val="BodyText"/>
      </w:pPr>
      <w:r>
        <w:t xml:space="preserve">В режиме супер-пользователя устанавливаю пакет DKMS (рис. 16).</w:t>
      </w:r>
    </w:p>
    <w:p>
      <w:pPr>
        <w:pStyle w:val="CaptionedFigure"/>
      </w:pPr>
      <w:r>
        <w:drawing>
          <wp:inline>
            <wp:extent cx="3733800" cy="232300"/>
            <wp:effectExtent b="0" l="0" r="0" t="0"/>
            <wp:docPr descr="Установка программ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программ</w:t>
      </w:r>
    </w:p>
    <w:p>
      <w:pPr>
        <w:pStyle w:val="BodyText"/>
      </w:pPr>
      <w:r>
        <w:t xml:space="preserve">В меню виртуальной машины подключаю образ диска дополнений гостевой ОС (рис. 17).</w:t>
      </w:r>
    </w:p>
    <w:p>
      <w:pPr>
        <w:pStyle w:val="CaptionedFigure"/>
      </w:pPr>
      <w:r>
        <w:drawing>
          <wp:inline>
            <wp:extent cx="2881512" cy="268941"/>
            <wp:effectExtent b="0" l="0" r="0" t="0"/>
            <wp:docPr descr="Подключение образа диска гостевой ОС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Подключение образа диска гостевой ОС</w:t>
      </w:r>
    </w:p>
    <w:p>
      <w:pPr>
        <w:pStyle w:val="BodyText"/>
      </w:pPr>
      <w:r>
        <w:t xml:space="preserve">Подмонтирую диск (рис. 18).</w:t>
      </w:r>
    </w:p>
    <w:p>
      <w:pPr>
        <w:pStyle w:val="CaptionedFigure"/>
      </w:pPr>
      <w:r>
        <w:drawing>
          <wp:inline>
            <wp:extent cx="3733800" cy="378512"/>
            <wp:effectExtent b="0" l="0" r="0" t="0"/>
            <wp:docPr descr="Установка программ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Установка программ</w:t>
      </w:r>
    </w:p>
    <w:p>
      <w:pPr>
        <w:pStyle w:val="BodyText"/>
      </w:pPr>
      <w:r>
        <w:t xml:space="preserve">Устанавливаю драйвера и перезагружаю виртуальную машину (рис. 19).</w:t>
      </w:r>
    </w:p>
    <w:p>
      <w:pPr>
        <w:pStyle w:val="CaptionedFigure"/>
      </w:pPr>
      <w:r>
        <w:drawing>
          <wp:inline>
            <wp:extent cx="3733800" cy="868325"/>
            <wp:effectExtent b="0" l="0" r="0" t="0"/>
            <wp:docPr descr="Установка драйверов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драйверов</w:t>
      </w:r>
    </w:p>
    <w:p>
      <w:pPr>
        <w:pStyle w:val="BodyText"/>
      </w:pPr>
      <w:r>
        <w:t xml:space="preserve">Запускаю терминальный мультиплексор tmux и в режиме супер-пользователя редактирую конфигурационный файл /etc/X11/xorg.conf.d/00-keyboard.conf и перезагружаю машину (рис. 20).</w:t>
      </w:r>
    </w:p>
    <w:p>
      <w:pPr>
        <w:pStyle w:val="CaptionedFigure"/>
      </w:pPr>
      <w:r>
        <w:drawing>
          <wp:inline>
            <wp:extent cx="3733800" cy="2722680"/>
            <wp:effectExtent b="0" l="0" r="0" t="0"/>
            <wp:docPr descr="Настройка конфигураций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конфигураций</w:t>
      </w:r>
    </w:p>
    <w:p>
      <w:pPr>
        <w:pStyle w:val="BodyText"/>
      </w:pPr>
      <w:r>
        <w:t xml:space="preserve">Запускаю терминальный мультиплексор tmux и в режиме супер-пользователя убеждаюсь в том, что пользователь уже создан (рис. 21).</w:t>
      </w:r>
    </w:p>
    <w:p>
      <w:pPr>
        <w:pStyle w:val="CaptionedFigure"/>
      </w:pPr>
      <w:r>
        <w:drawing>
          <wp:inline>
            <wp:extent cx="3733800" cy="361904"/>
            <wp:effectExtent b="0" l="0" r="0" t="0"/>
            <wp:docPr descr="Создание пользователя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пользователя</w:t>
      </w:r>
    </w:p>
    <w:p>
      <w:pPr>
        <w:pStyle w:val="BodyText"/>
      </w:pPr>
      <w:r>
        <w:t xml:space="preserve">Настраиваю имя хоста и проверяю, что оно верно установлено (рис. 22).</w:t>
      </w:r>
    </w:p>
    <w:p>
      <w:pPr>
        <w:pStyle w:val="CaptionedFigure"/>
      </w:pPr>
      <w:r>
        <w:drawing>
          <wp:inline>
            <wp:extent cx="3733800" cy="2628302"/>
            <wp:effectExtent b="0" l="0" r="0" t="0"/>
            <wp:docPr descr="Настройка имени хоста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Настройка имени хоста</w:t>
      </w:r>
    </w:p>
    <w:bookmarkEnd w:id="89"/>
    <w:bookmarkStart w:id="105" w:name="X9e1dcf95cfcc578e31cfcc835240d4351b2d7d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Для работы с перекрёстными ссылками я устанавливаю пакет pandoc-crossref последней версии (рис. 23).</w:t>
      </w:r>
    </w:p>
    <w:p>
      <w:pPr>
        <w:pStyle w:val="CaptionedFigure"/>
      </w:pPr>
      <w:r>
        <w:drawing>
          <wp:inline>
            <wp:extent cx="3733800" cy="1349428"/>
            <wp:effectExtent b="0" l="0" r="0" t="0"/>
            <wp:docPr descr="Установка программ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Установка программ</w:t>
      </w:r>
    </w:p>
    <w:p>
      <w:pPr>
        <w:pStyle w:val="BodyText"/>
      </w:pPr>
      <w:r>
        <w:t xml:space="preserve">Нахожу в файловой системе скачанный файл в формате tar.gz (рис. 24).</w:t>
      </w:r>
    </w:p>
    <w:p>
      <w:pPr>
        <w:pStyle w:val="CaptionedFigure"/>
      </w:pPr>
      <w:r>
        <w:drawing>
          <wp:inline>
            <wp:extent cx="3733800" cy="573548"/>
            <wp:effectExtent b="0" l="0" r="0" t="0"/>
            <wp:docPr descr="Просмотр директорий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Просмотр директорий</w:t>
      </w:r>
    </w:p>
    <w:p>
      <w:pPr>
        <w:pStyle w:val="BodyText"/>
      </w:pPr>
      <w:r>
        <w:t xml:space="preserve">Распаковываю архив, устанавливаю права на запись и чтение, создаю каталог для данного программного обеспечения и перемещаю его в данный каталог (рис. 25).</w:t>
      </w:r>
    </w:p>
    <w:p>
      <w:pPr>
        <w:pStyle w:val="CaptionedFigure"/>
      </w:pPr>
      <w:r>
        <w:drawing>
          <wp:inline>
            <wp:extent cx="3733800" cy="573548"/>
            <wp:effectExtent b="0" l="0" r="0" t="0"/>
            <wp:docPr descr="Работа с программным обеспечением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Работа с программным обеспечением</w:t>
      </w:r>
    </w:p>
    <w:p>
      <w:pPr>
        <w:pStyle w:val="BodyText"/>
      </w:pPr>
      <w:r>
        <w:t xml:space="preserve">Просматриваю версию установленного pandoc-crossref и проверяю на соответствие ей версию pandoc (рис. 26).</w:t>
      </w:r>
    </w:p>
    <w:p>
      <w:pPr>
        <w:pStyle w:val="CaptionedFigure"/>
      </w:pPr>
      <w:r>
        <w:drawing>
          <wp:inline>
            <wp:extent cx="3733800" cy="1187508"/>
            <wp:effectExtent b="0" l="0" r="0" t="0"/>
            <wp:docPr descr="Просмотр версий программного обеспечения pandoc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Просмотр версий программного обеспечения pandoc</w:t>
      </w:r>
    </w:p>
    <w:p>
      <w:pPr>
        <w:pStyle w:val="BodyText"/>
      </w:pPr>
      <w:r>
        <w:t xml:space="preserve">Устанавливаю дистрибутив TexLive (рис. 27).</w:t>
      </w:r>
    </w:p>
    <w:p>
      <w:pPr>
        <w:pStyle w:val="CaptionedFigure"/>
      </w:pPr>
      <w:r>
        <w:drawing>
          <wp:inline>
            <wp:extent cx="3733800" cy="1907359"/>
            <wp:effectExtent b="0" l="0" r="0" t="0"/>
            <wp:docPr descr="Установка программ" title="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Установка программ</w:t>
      </w:r>
    </w:p>
    <w:bookmarkEnd w:id="105"/>
    <w:bookmarkStart w:id="127" w:name="выполнение-заданий-для-домашне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домашней работы</w:t>
      </w:r>
    </w:p>
    <w:p>
      <w:pPr>
        <w:pStyle w:val="FirstParagraph"/>
      </w:pPr>
      <w:r>
        <w:t xml:space="preserve">Получаю информацию о версии ядра Linux (рис. 28).</w:t>
      </w:r>
    </w:p>
    <w:p>
      <w:pPr>
        <w:pStyle w:val="CaptionedFigure"/>
      </w:pPr>
      <w:r>
        <w:drawing>
          <wp:inline>
            <wp:extent cx="3733800" cy="370016"/>
            <wp:effectExtent b="0" l="0" r="0" t="0"/>
            <wp:docPr descr="Получение информации об ОС" title="" id="107" name="Picture"/>
            <a:graphic>
              <a:graphicData uri="http://schemas.openxmlformats.org/drawingml/2006/picture">
                <pic:pic>
                  <pic:nvPicPr>
                    <pic:cNvPr descr="image/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Получение информации об ОС</w:t>
      </w:r>
    </w:p>
    <w:p>
      <w:pPr>
        <w:pStyle w:val="BodyText"/>
      </w:pPr>
      <w:r>
        <w:t xml:space="preserve">Получаю информацию о частоте процессора (рис. 29).</w:t>
      </w:r>
    </w:p>
    <w:p>
      <w:pPr>
        <w:pStyle w:val="CaptionedFigure"/>
      </w:pPr>
      <w:r>
        <w:drawing>
          <wp:inline>
            <wp:extent cx="3733800" cy="288695"/>
            <wp:effectExtent b="0" l="0" r="0" t="0"/>
            <wp:docPr descr="Получение информации об ОС" title="" id="110" name="Picture"/>
            <a:graphic>
              <a:graphicData uri="http://schemas.openxmlformats.org/drawingml/2006/picture">
                <pic:pic>
                  <pic:nvPicPr>
                    <pic:cNvPr descr="image/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Получение информации об ОС</w:t>
      </w:r>
    </w:p>
    <w:p>
      <w:pPr>
        <w:pStyle w:val="BodyText"/>
      </w:pPr>
      <w:r>
        <w:t xml:space="preserve">Получаю информацию о модели процессора (рис. 30).</w:t>
      </w:r>
    </w:p>
    <w:p>
      <w:pPr>
        <w:pStyle w:val="CaptionedFigure"/>
      </w:pPr>
      <w:r>
        <w:drawing>
          <wp:inline>
            <wp:extent cx="3733800" cy="202969"/>
            <wp:effectExtent b="0" l="0" r="0" t="0"/>
            <wp:docPr descr="Получение информации об ОС" title="" id="113" name="Picture"/>
            <a:graphic>
              <a:graphicData uri="http://schemas.openxmlformats.org/drawingml/2006/picture">
                <pic:pic>
                  <pic:nvPicPr>
                    <pic:cNvPr descr="image/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Получение информации об ОС</w:t>
      </w:r>
    </w:p>
    <w:p>
      <w:pPr>
        <w:pStyle w:val="BodyText"/>
      </w:pPr>
      <w:r>
        <w:t xml:space="preserve">Получаю информацию об объёме доступной оперативной памяти в мегабайтах (free)(рис. 31).</w:t>
      </w:r>
    </w:p>
    <w:p>
      <w:pPr>
        <w:pStyle w:val="CaptionedFigure"/>
      </w:pPr>
      <w:r>
        <w:drawing>
          <wp:inline>
            <wp:extent cx="3733800" cy="445997"/>
            <wp:effectExtent b="0" l="0" r="0" t="0"/>
            <wp:docPr descr="Получение информации об ОС" title="" id="116" name="Picture"/>
            <a:graphic>
              <a:graphicData uri="http://schemas.openxmlformats.org/drawingml/2006/picture">
                <pic:pic>
                  <pic:nvPicPr>
                    <pic:cNvPr descr="image/3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Получение информации об ОС</w:t>
      </w:r>
    </w:p>
    <w:p>
      <w:pPr>
        <w:pStyle w:val="BodyText"/>
      </w:pPr>
      <w:r>
        <w:t xml:space="preserve">Получаю информацию о типе обнаруженного гипервизора (рис. [-fig. 32).</w:t>
      </w:r>
    </w:p>
    <w:p>
      <w:pPr>
        <w:pStyle w:val="CaptionedFigure"/>
      </w:pPr>
      <w:r>
        <w:drawing>
          <wp:inline>
            <wp:extent cx="3733800" cy="378541"/>
            <wp:effectExtent b="0" l="0" r="0" t="0"/>
            <wp:docPr descr="Получение информации об ОС" title="" id="119" name="Picture"/>
            <a:graphic>
              <a:graphicData uri="http://schemas.openxmlformats.org/drawingml/2006/picture">
                <pic:pic>
                  <pic:nvPicPr>
                    <pic:cNvPr descr="image/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Получение информации об ОС</w:t>
      </w:r>
    </w:p>
    <w:p>
      <w:pPr>
        <w:pStyle w:val="BodyText"/>
      </w:pPr>
      <w:r>
        <w:t xml:space="preserve">Получаю информацию о типе файловой системы корневого раздела (рис. 33).</w:t>
      </w:r>
    </w:p>
    <w:p>
      <w:pPr>
        <w:pStyle w:val="CaptionedFigure"/>
      </w:pPr>
      <w:r>
        <w:drawing>
          <wp:inline>
            <wp:extent cx="3733800" cy="320830"/>
            <wp:effectExtent b="0" l="0" r="0" t="0"/>
            <wp:docPr descr="Получение информации об ОС" title="" id="122" name="Picture"/>
            <a:graphic>
              <a:graphicData uri="http://schemas.openxmlformats.org/drawingml/2006/picture">
                <pic:pic>
                  <pic:nvPicPr>
                    <pic:cNvPr descr="image/3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Получение информации об ОС</w:t>
      </w:r>
    </w:p>
    <w:p>
      <w:pPr>
        <w:pStyle w:val="BodyText"/>
      </w:pPr>
      <w:r>
        <w:t xml:space="preserve">Получаю информацию о последовательности монтирования файловых систем (рис. 34).</w:t>
      </w:r>
    </w:p>
    <w:p>
      <w:pPr>
        <w:pStyle w:val="CaptionedFigure"/>
      </w:pPr>
      <w:r>
        <w:drawing>
          <wp:inline>
            <wp:extent cx="3733800" cy="1199684"/>
            <wp:effectExtent b="0" l="0" r="0" t="0"/>
            <wp:docPr descr="Получение информации об ОС" title="" id="125" name="Picture"/>
            <a:graphic>
              <a:graphicData uri="http://schemas.openxmlformats.org/drawingml/2006/picture">
                <pic:pic>
                  <pic:nvPicPr>
                    <pic:cNvPr descr="image/3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Получение информации об ОС</w:t>
      </w:r>
    </w:p>
    <w:bookmarkEnd w:id="127"/>
    <w:bookmarkStart w:id="128" w:name="ответы-на-контрольные-вопросы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Учётная запись содержит данные, необходимые для идентификации пользователя в системе.</w:t>
      </w:r>
    </w:p>
    <w:p>
      <w:pPr>
        <w:numPr>
          <w:ilvl w:val="0"/>
          <w:numId w:val="1003"/>
        </w:numPr>
        <w:pStyle w:val="Compact"/>
      </w:pPr>
      <w:r>
        <w:t xml:space="preserve">Укажите команды терминала и приведите примеры:</w:t>
      </w:r>
    </w:p>
    <w:p>
      <w:pPr>
        <w:pStyle w:val="FirstParagraph"/>
      </w:pPr>
      <w:r>
        <w:t xml:space="preserve">–help - для получения справки по команде;</w:t>
      </w:r>
      <w:r>
        <w:t xml:space="preserve"> </w:t>
      </w:r>
      <w:r>
        <w:t xml:space="preserve">cd - для перемещения по файловой системе;</w:t>
      </w:r>
      <w:r>
        <w:t xml:space="preserve"> </w:t>
      </w:r>
      <w:r>
        <w:t xml:space="preserve">ls - для просмотра содержимого каталога;</w:t>
      </w:r>
      <w:r>
        <w:t xml:space="preserve"> </w:t>
      </w:r>
      <w:r>
        <w:t xml:space="preserve">du - для определения объёма каталога;</w:t>
      </w:r>
      <w:r>
        <w:t xml:space="preserve"> </w:t>
      </w:r>
      <w:r>
        <w:t xml:space="preserve">mkdir / rmdir - для создания / удаления каталогов;</w:t>
      </w:r>
      <w:r>
        <w:t xml:space="preserve"> </w:t>
      </w:r>
      <w:r>
        <w:t xml:space="preserve">touch / rm - для создания / удаления файлов;</w:t>
      </w:r>
      <w:r>
        <w:t xml:space="preserve"> </w:t>
      </w:r>
      <w:r>
        <w:t xml:space="preserve">chmod - для задания определённых прав на файл / каталог;</w:t>
      </w:r>
      <w:r>
        <w:t xml:space="preserve"> </w:t>
      </w:r>
      <w:r>
        <w:t xml:space="preserve">history - для просмотра истории команд.</w:t>
      </w:r>
    </w:p>
    <w:p>
      <w:pPr>
        <w:numPr>
          <w:ilvl w:val="0"/>
          <w:numId w:val="1004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- это порядок, определяющий способ организации, хранения и именования данных на различных носителях информации.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FAT32 (File Allocation Table)- файловая система, одной из особенностей которой является возможность применения не только на современных моделях компьютеров, но и в устаревших устройствах и консолях, снабженных разъемом USB. Логически разделена на 3 сопредельные области: зарезервированный сектор для служебных структур, табличная форма указателей, непосредственная зона записи содержимого файлов.</w:t>
      </w:r>
    </w:p>
    <w:p>
      <w:pPr>
        <w:pStyle w:val="BodyText"/>
      </w:pPr>
      <w:r>
        <w:t xml:space="preserve">ReFS (Resilient File System). Файловая система ReFS обладает высокой отказоустойчивостью благодаря реализации новых функций: Copy-on-Write (CoW) – никакие метаданные не изменяются без копирования; данные записываются на новое дисковое пространство, а не поверх существующих файлов; при модификации метаданных новая копия хранится в свободном дисковом пространстве, затем система создает ссылку из старых метаданных на новую версию.</w:t>
      </w:r>
    </w:p>
    <w:p>
      <w:pPr>
        <w:numPr>
          <w:ilvl w:val="0"/>
          <w:numId w:val="1005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Для того, чтобы посмотреть, какие файловые системы подмонтированы в ОС, следует ввести команду</w:t>
      </w:r>
      <w:r>
        <w:t xml:space="preserve"> </w:t>
      </w:r>
      <w:r>
        <w:t xml:space="preserve">‘</w:t>
      </w:r>
      <w:r>
        <w:t xml:space="preserve">df</w:t>
      </w:r>
      <w:r>
        <w:t xml:space="preserve">’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Для удаления зависшего процесса следует узнать его id с помощью команды</w:t>
      </w:r>
      <w:r>
        <w:t xml:space="preserve"> </w:t>
      </w:r>
      <w:r>
        <w:t xml:space="preserve">‘</w:t>
      </w:r>
      <w:r>
        <w:t xml:space="preserve">ps</w:t>
      </w:r>
      <w:r>
        <w:t xml:space="preserve">’</w:t>
      </w:r>
      <w:r>
        <w:t xml:space="preserve">, затем ввести команду</w:t>
      </w:r>
      <w:r>
        <w:t xml:space="preserve"> </w:t>
      </w:r>
      <w:r>
        <w:t xml:space="preserve">‘</w:t>
      </w:r>
      <w:r>
        <w:t xml:space="preserve">kill &lt; id процесса &gt;</w:t>
      </w:r>
      <w:r>
        <w:t xml:space="preserve">’</w:t>
      </w:r>
      <w:r>
        <w:t xml:space="preserve">. Альтернативным способом является использование команды</w:t>
      </w:r>
      <w:r>
        <w:t xml:space="preserve"> </w:t>
      </w:r>
      <w:r>
        <w:t xml:space="preserve">‘</w:t>
      </w:r>
      <w:r>
        <w:t xml:space="preserve">killall</w:t>
      </w:r>
      <w:r>
        <w:t xml:space="preserve">’</w:t>
      </w:r>
      <w:r>
        <w:t xml:space="preserve">, но она удалит все текущие процессы.</w:t>
      </w:r>
    </w:p>
    <w:bookmarkEnd w:id="128"/>
    <w:bookmarkEnd w:id="129"/>
    <w:bookmarkStart w:id="1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</w:p>
    <w:bookmarkEnd w:id="130"/>
    <w:bookmarkStart w:id="132" w:name="список-литературы"/>
    <w:p>
      <w:pPr>
        <w:pStyle w:val="Heading1"/>
      </w:pPr>
      <w:r>
        <w:t xml:space="preserve">Список литературы</w:t>
      </w:r>
    </w:p>
    <w:bookmarkStart w:id="131" w:name="refs"/>
    <w:p>
      <w:pPr>
        <w:numPr>
          <w:ilvl w:val="0"/>
          <w:numId w:val="1007"/>
        </w:numPr>
        <w:pStyle w:val="Bibliography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7"/>
        </w:numPr>
        <w:pStyle w:val="Bibliography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7"/>
        </w:numPr>
        <w:pStyle w:val="Bibliography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7"/>
        </w:numPr>
        <w:pStyle w:val="Bibliography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7"/>
        </w:numPr>
        <w:pStyle w:val="Bibliography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7"/>
        </w:numPr>
        <w:pStyle w:val="Bibliography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7"/>
        </w:numPr>
        <w:pStyle w:val="Bibliography"/>
      </w:pPr>
      <w:r>
        <w:t xml:space="preserve">Robbins, A. Bash Pocket Reference / A. Robbins. – O’Reilly Media, 2016. – 156 сс.</w:t>
      </w:r>
    </w:p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28" Target="media/rId28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Мурашов Иван Вячеславович</dc:creator>
  <dc:language>ru-RU</dc:language>
  <cp:keywords/>
  <dcterms:created xsi:type="dcterms:W3CDTF">2024-02-18T18:48:19Z</dcterms:created>
  <dcterms:modified xsi:type="dcterms:W3CDTF">2024-02-18T18:48:19Z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