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2.png" ContentType="image/png"/>
  <Override PartName="/word/media/rId96.png" ContentType="image/png"/>
  <Override PartName="/word/media/rId25.png" ContentType="image/png"/>
  <Override PartName="/word/media/rId100.png" ContentType="image/png"/>
  <Override PartName="/word/media/rId104.png" ContentType="image/png"/>
  <Override PartName="/word/media/rId108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Внешний курс. Блок 1: Безопасность в сети</w:t>
      </w:r>
    </w:p>
    <w:p>
      <w:pPr>
        <w:pStyle w:val="Subtitle"/>
      </w:pPr>
      <w:r>
        <w:t xml:space="preserve">Основы информационной безопасности</w:t>
      </w:r>
    </w:p>
    <w:p>
      <w:pPr>
        <w:pStyle w:val="Author"/>
      </w:pPr>
      <w:r>
        <w:t xml:space="preserve">Мурашов Иван 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Выполнение контрольных заданий 1го блока внешнего курса</w:t>
      </w:r>
      <w:r>
        <w:t xml:space="preserve"> </w:t>
      </w:r>
      <w:r>
        <w:t xml:space="preserve">“Основы Кибербезопасности”</w:t>
      </w:r>
      <w:r>
        <w:t xml:space="preserve">.</w:t>
      </w:r>
    </w:p>
    <w:bookmarkEnd w:id="20"/>
    <w:bookmarkStart w:id="113" w:name="выполнение-заданий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заданий</w:t>
      </w:r>
    </w:p>
    <w:bookmarkStart w:id="57" w:name="X808aab1f98d65430c717c64c4e7a2057359c678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Как работает интернет: базовые сетевые протоколы</w:t>
      </w:r>
    </w:p>
    <w:p>
      <w:pPr>
        <w:pStyle w:val="FirstParagraph"/>
      </w:pPr>
      <w:r>
        <w:t xml:space="preserve">UDP - протокол сетевого уровня</w:t>
      </w:r>
      <w:r>
        <w:t xml:space="preserve"> </w:t>
      </w:r>
      <w:r>
        <w:t xml:space="preserve">TCP - протокол транспортного уровня</w:t>
      </w:r>
      <w:r>
        <w:t xml:space="preserve"> </w:t>
      </w:r>
      <w:r>
        <w:t xml:space="preserve">HTTPS - протокол прикладного уровня</w:t>
      </w:r>
      <w:r>
        <w:t xml:space="preserve"> </w:t>
      </w:r>
      <w:r>
        <w:t xml:space="preserve">IP - протокол сетевого уровня,</w:t>
      </w:r>
      <w:r>
        <w:t xml:space="preserve"> </w:t>
      </w:r>
      <w:r>
        <w:t xml:space="preserve">поэтому ответ HTTPS (рис. 1).</w:t>
      </w:r>
    </w:p>
    <w:bookmarkStart w:id="24" w:name="fig:001"/>
    <w:p>
      <w:pPr>
        <w:pStyle w:val="CaptionedFigure"/>
      </w:pPr>
      <w:r>
        <w:drawing>
          <wp:inline>
            <wp:extent cx="3733800" cy="1891418"/>
            <wp:effectExtent b="0" l="0" r="0" t="0"/>
            <wp:docPr descr="Рис. 1: Вопрос 2.1.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1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Вопрос 2.1.1</w:t>
      </w:r>
    </w:p>
    <w:bookmarkEnd w:id="24"/>
    <w:p>
      <w:pPr>
        <w:pStyle w:val="BodyText"/>
      </w:pPr>
      <w:r>
        <w:t xml:space="preserve">Ранее было упомянуто, что протокол TCP - transmission control protocol - работает на транспортном уровне (рис. 2).</w:t>
      </w:r>
    </w:p>
    <w:bookmarkStart w:id="28" w:name="fig:002"/>
    <w:p>
      <w:pPr>
        <w:pStyle w:val="CaptionedFigure"/>
      </w:pPr>
      <w:r>
        <w:drawing>
          <wp:inline>
            <wp:extent cx="3733800" cy="1906240"/>
            <wp:effectExtent b="0" l="0" r="0" t="0"/>
            <wp:docPr descr="Рис. 2: Вопрос 2.1.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6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Вопрос 2.1.2</w:t>
      </w:r>
    </w:p>
    <w:bookmarkEnd w:id="28"/>
    <w:p>
      <w:pPr>
        <w:pStyle w:val="BodyText"/>
      </w:pPr>
      <w:r>
        <w:t xml:space="preserve">В адресе типа IPv4 не может быть чисел больше 255, поэтому первые два варианта не подходят (рис. 3).</w:t>
      </w:r>
    </w:p>
    <w:bookmarkStart w:id="32" w:name="fig:003"/>
    <w:p>
      <w:pPr>
        <w:pStyle w:val="CaptionedFigure"/>
      </w:pPr>
      <w:r>
        <w:drawing>
          <wp:inline>
            <wp:extent cx="3733800" cy="2126535"/>
            <wp:effectExtent b="0" l="0" r="0" t="0"/>
            <wp:docPr descr="Рис. 3: Вопрос 2.1.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6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Вопрос 2.1.3</w:t>
      </w:r>
    </w:p>
    <w:bookmarkEnd w:id="32"/>
    <w:p>
      <w:pPr>
        <w:pStyle w:val="BodyText"/>
      </w:pPr>
      <w:r>
        <w:t xml:space="preserve">DNS-сервер, Domain name server — приложение, предназначенное для ответов на DNS-запросы по соответствующему протоколу Обязательное условие – Сопоставление сервером доменных имен доменного имени с IP-адресом называется разрешением имени и адреса (рис. 4).</w:t>
      </w:r>
    </w:p>
    <w:bookmarkStart w:id="36" w:name="fig:004"/>
    <w:p>
      <w:pPr>
        <w:pStyle w:val="CaptionedFigure"/>
      </w:pPr>
      <w:r>
        <w:drawing>
          <wp:inline>
            <wp:extent cx="3733800" cy="1695559"/>
            <wp:effectExtent b="0" l="0" r="0" t="0"/>
            <wp:docPr descr="Рис. 4: Вопрос 2.1.4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5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Вопрос 2.1.4</w:t>
      </w:r>
    </w:p>
    <w:bookmarkEnd w:id="36"/>
    <w:p>
      <w:pPr>
        <w:pStyle w:val="BodyText"/>
      </w:pPr>
      <w:r>
        <w:t xml:space="preserve">Распределение протоколов в модели TCP/IP:</w:t>
      </w:r>
    </w:p>
    <w:p>
      <w:pPr>
        <w:numPr>
          <w:ilvl w:val="0"/>
          <w:numId w:val="1001"/>
        </w:numPr>
      </w:pPr>
      <w:r>
        <w:t xml:space="preserve">Прикладной уровень (Application Layer): HTTP, RTSP, FTP, DNS.</w:t>
      </w:r>
    </w:p>
    <w:p>
      <w:pPr>
        <w:numPr>
          <w:ilvl w:val="0"/>
          <w:numId w:val="1001"/>
        </w:numPr>
      </w:pPr>
      <w:r>
        <w:t xml:space="preserve">Транспортный уровень (Transport Layer): TCP, UDP, SCTP, DCCP.</w:t>
      </w:r>
    </w:p>
    <w:p>
      <w:pPr>
        <w:numPr>
          <w:ilvl w:val="0"/>
          <w:numId w:val="1001"/>
        </w:numPr>
      </w:pPr>
      <w:r>
        <w:t xml:space="preserve">Сетевой (Межсетевой) уровень (Network Layer): IP.</w:t>
      </w:r>
    </w:p>
    <w:p>
      <w:pPr>
        <w:numPr>
          <w:ilvl w:val="0"/>
          <w:numId w:val="1001"/>
        </w:numPr>
      </w:pPr>
      <w:r>
        <w:t xml:space="preserve">Уровень сетевого доступа (Канальный) (Link Layer): Ethernet, IEEE 802.11, WLAN, SLIP, Token Ring, ATM и MPLS.</w:t>
      </w:r>
      <w:r>
        <w:t xml:space="preserve"> </w:t>
      </w:r>
      <w:r>
        <w:t xml:space="preserve">(рис. 5).</w:t>
      </w:r>
    </w:p>
    <w:bookmarkStart w:id="40" w:name="fig:005"/>
    <w:p>
      <w:pPr>
        <w:pStyle w:val="CaptionedFigure"/>
      </w:pPr>
      <w:r>
        <w:drawing>
          <wp:inline>
            <wp:extent cx="3733800" cy="1597177"/>
            <wp:effectExtent b="0" l="0" r="0" t="0"/>
            <wp:docPr descr="Рис. 5: Вопрос 2.1.5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7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Вопрос 2.1.5</w:t>
      </w:r>
    </w:p>
    <w:bookmarkEnd w:id="40"/>
    <w:p>
      <w:pPr>
        <w:pStyle w:val="BodyText"/>
      </w:pPr>
      <w:r>
        <w:t xml:space="preserve">Протокол http передает не зашифрованные данные, а протокол https уже будет передавать зашифрованные данные (рис. 6).</w:t>
      </w:r>
    </w:p>
    <w:bookmarkStart w:id="44" w:name="fig:006"/>
    <w:p>
      <w:pPr>
        <w:pStyle w:val="CaptionedFigure"/>
      </w:pPr>
      <w:r>
        <w:drawing>
          <wp:inline>
            <wp:extent cx="3733800" cy="1741714"/>
            <wp:effectExtent b="0" l="0" r="0" t="0"/>
            <wp:docPr descr="Рис. 6: Вопрос 2.1.6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1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Вопрос 2.1.6</w:t>
      </w:r>
    </w:p>
    <w:bookmarkEnd w:id="44"/>
    <w:p>
      <w:pPr>
        <w:pStyle w:val="BodyText"/>
      </w:pPr>
      <w:r>
        <w:t xml:space="preserve">https передает зашифрованные данные, одна из фаз - передача данных, другая должна быть рукопожатием (рис. 7).</w:t>
      </w:r>
    </w:p>
    <w:bookmarkStart w:id="48" w:name="fig:007"/>
    <w:p>
      <w:pPr>
        <w:pStyle w:val="CaptionedFigure"/>
      </w:pPr>
      <w:r>
        <w:drawing>
          <wp:inline>
            <wp:extent cx="3733800" cy="1836930"/>
            <wp:effectExtent b="0" l="0" r="0" t="0"/>
            <wp:docPr descr="Рис. 7: Вопрос 2.1.7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6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Вопрос 2.1.7</w:t>
      </w:r>
    </w:p>
    <w:bookmarkEnd w:id="48"/>
    <w:p>
      <w:pPr>
        <w:pStyle w:val="BodyText"/>
      </w:pPr>
      <w:r>
        <w:t xml:space="preserve">TLS определяется и клиентом, и сервером, чтобы было возможно подключиться (рис. 8).</w:t>
      </w:r>
    </w:p>
    <w:bookmarkStart w:id="52" w:name="fig:008"/>
    <w:p>
      <w:pPr>
        <w:pStyle w:val="CaptionedFigure"/>
      </w:pPr>
      <w:r>
        <w:drawing>
          <wp:inline>
            <wp:extent cx="3733800" cy="1891839"/>
            <wp:effectExtent b="0" l="0" r="0" t="0"/>
            <wp:docPr descr="Рис. 8: Вопрос 2.1.8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1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Вопрос 2.1.8</w:t>
      </w:r>
    </w:p>
    <w:bookmarkEnd w:id="52"/>
    <w:p>
      <w:pPr>
        <w:pStyle w:val="BodyText"/>
      </w:pPr>
      <w:r>
        <w:t xml:space="preserve">Ответ на изобрадении, остальные варианты в протоколе предусмотрены (рис. 9).</w:t>
      </w:r>
    </w:p>
    <w:bookmarkStart w:id="56" w:name="fig:009"/>
    <w:p>
      <w:pPr>
        <w:pStyle w:val="CaptionedFigure"/>
      </w:pPr>
      <w:r>
        <w:drawing>
          <wp:inline>
            <wp:extent cx="3733800" cy="1614519"/>
            <wp:effectExtent b="0" l="0" r="0" t="0"/>
            <wp:docPr descr="Рис. 9: Вопрос 2.1.9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4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Вопрос 2.1.9</w:t>
      </w:r>
    </w:p>
    <w:bookmarkEnd w:id="56"/>
    <w:bookmarkEnd w:id="57"/>
    <w:bookmarkStart w:id="74" w:name="персонализация-сет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Персонализация сети</w:t>
      </w:r>
    </w:p>
    <w:p>
      <w:pPr>
        <w:pStyle w:val="FirstParagraph"/>
      </w:pPr>
      <w:r>
        <w:t xml:space="preserve">Куки точно не хранят пароли и IP-адреса, а id ceccии и идентификатор хранят (рис. 10).</w:t>
      </w:r>
    </w:p>
    <w:bookmarkStart w:id="61" w:name="fig:010"/>
    <w:p>
      <w:pPr>
        <w:pStyle w:val="CaptionedFigure"/>
      </w:pPr>
      <w:r>
        <w:drawing>
          <wp:inline>
            <wp:extent cx="3733800" cy="2159782"/>
            <wp:effectExtent b="0" l="0" r="0" t="0"/>
            <wp:docPr descr="Рис. 10: Вопрос 2.2.1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9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Вопрос 2.2.1</w:t>
      </w:r>
    </w:p>
    <w:bookmarkEnd w:id="61"/>
    <w:p>
      <w:pPr>
        <w:pStyle w:val="BodyText"/>
      </w:pPr>
      <w:r>
        <w:t xml:space="preserve">Конечно же, куки не делают соединение более надежным (рис. 11).</w:t>
      </w:r>
    </w:p>
    <w:bookmarkStart w:id="65" w:name="fig:011"/>
    <w:p>
      <w:pPr>
        <w:pStyle w:val="CaptionedFigure"/>
      </w:pPr>
      <w:r>
        <w:drawing>
          <wp:inline>
            <wp:extent cx="3733800" cy="1984445"/>
            <wp:effectExtent b="0" l="0" r="0" t="0"/>
            <wp:docPr descr="Рис. 11: Вопрос 2.2.2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4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Вопрос 2.2.2</w:t>
      </w:r>
    </w:p>
    <w:bookmarkEnd w:id="65"/>
    <w:p>
      <w:pPr>
        <w:pStyle w:val="BodyText"/>
      </w:pPr>
      <w:r>
        <w:t xml:space="preserve">Ответ на изображении (рис. 12).</w:t>
      </w:r>
    </w:p>
    <w:bookmarkStart w:id="69" w:name="fig:012"/>
    <w:p>
      <w:pPr>
        <w:pStyle w:val="CaptionedFigure"/>
      </w:pPr>
      <w:r>
        <w:drawing>
          <wp:inline>
            <wp:extent cx="3733800" cy="1682536"/>
            <wp:effectExtent b="0" l="0" r="0" t="0"/>
            <wp:docPr descr="Рис. 12: Вопрос 2.2.3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2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Вопрос 2.2.3</w:t>
      </w:r>
    </w:p>
    <w:bookmarkEnd w:id="69"/>
    <w:p>
      <w:pPr>
        <w:pStyle w:val="BodyText"/>
      </w:pPr>
      <w:r>
        <w:t xml:space="preserve">Сессионные куки хранятся в течение сессии, то есть пока используется веб-сайт (рис. 13).</w:t>
      </w:r>
    </w:p>
    <w:bookmarkStart w:id="73" w:name="fig:013"/>
    <w:p>
      <w:pPr>
        <w:pStyle w:val="CaptionedFigure"/>
      </w:pPr>
      <w:r>
        <w:drawing>
          <wp:inline>
            <wp:extent cx="3733800" cy="1763669"/>
            <wp:effectExtent b="0" l="0" r="0" t="0"/>
            <wp:docPr descr="Рис. 13: Вопрос 2.2.4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3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Вопрос 2.2.4</w:t>
      </w:r>
    </w:p>
    <w:bookmarkEnd w:id="73"/>
    <w:bookmarkEnd w:id="74"/>
    <w:bookmarkStart w:id="91" w:name="браузер-tor.-анонимизация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Браузер TOR. Анонимизация</w:t>
      </w:r>
    </w:p>
    <w:p>
      <w:pPr>
        <w:pStyle w:val="FirstParagraph"/>
      </w:pPr>
      <w:r>
        <w:t xml:space="preserve">Необходимо три узла - входной, промежуточный и выходной (рис. 14).</w:t>
      </w:r>
    </w:p>
    <w:bookmarkStart w:id="78" w:name="fig:014"/>
    <w:p>
      <w:pPr>
        <w:pStyle w:val="CaptionedFigure"/>
      </w:pPr>
      <w:r>
        <w:drawing>
          <wp:inline>
            <wp:extent cx="3733800" cy="1776510"/>
            <wp:effectExtent b="0" l="0" r="0" t="0"/>
            <wp:docPr descr="Рис. 14: Вопрос 2.3.1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6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Вопрос 2.3.1</w:t>
      </w:r>
    </w:p>
    <w:bookmarkEnd w:id="78"/>
    <w:p>
      <w:pPr>
        <w:pStyle w:val="BodyText"/>
      </w:pPr>
      <w:r>
        <w:t xml:space="preserve">IP-адрес не должен быть известен охранному и промежуточному узлам (рис. 15).</w:t>
      </w:r>
    </w:p>
    <w:bookmarkStart w:id="82" w:name="fig:015"/>
    <w:p>
      <w:pPr>
        <w:pStyle w:val="CaptionedFigure"/>
      </w:pPr>
      <w:r>
        <w:drawing>
          <wp:inline>
            <wp:extent cx="3733800" cy="2139713"/>
            <wp:effectExtent b="0" l="0" r="0" t="0"/>
            <wp:docPr descr="Рис. 15: Вопрос 2.3.2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9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Вопрос 2.3.2</w:t>
      </w:r>
    </w:p>
    <w:bookmarkEnd w:id="82"/>
    <w:p>
      <w:pPr>
        <w:pStyle w:val="BodyText"/>
      </w:pPr>
      <w:r>
        <w:t xml:space="preserve">Отправитель генерирует общий секретный ключ со узлами, через которые идет передача, то есть со всеми (рис. 16).</w:t>
      </w:r>
    </w:p>
    <w:bookmarkStart w:id="86" w:name="fig:016"/>
    <w:p>
      <w:pPr>
        <w:pStyle w:val="CaptionedFigure"/>
      </w:pPr>
      <w:r>
        <w:drawing>
          <wp:inline>
            <wp:extent cx="3733800" cy="1915228"/>
            <wp:effectExtent b="0" l="0" r="0" t="0"/>
            <wp:docPr descr="Рис. 16: Вопрос 2.3.3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5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Вопрос 2.3.3</w:t>
      </w:r>
    </w:p>
    <w:bookmarkEnd w:id="86"/>
    <w:p>
      <w:pPr>
        <w:pStyle w:val="BodyText"/>
      </w:pPr>
      <w:r>
        <w:t xml:space="preserve">Для получаения пакетов не нужно использовать TOR. TOR — это технология, которая позволяет с некоторым успехом скрыть личность человека в интернете (рис. 17).</w:t>
      </w:r>
    </w:p>
    <w:bookmarkStart w:id="90" w:name="fig:017"/>
    <w:p>
      <w:pPr>
        <w:pStyle w:val="CaptionedFigure"/>
      </w:pPr>
      <w:r>
        <w:drawing>
          <wp:inline>
            <wp:extent cx="3733800" cy="1806791"/>
            <wp:effectExtent b="0" l="0" r="0" t="0"/>
            <wp:docPr descr="Рис. 17: Вопрос 2.3.4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6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Вопрос 2.3.4</w:t>
      </w:r>
    </w:p>
    <w:bookmarkEnd w:id="90"/>
    <w:bookmarkEnd w:id="91"/>
    <w:bookmarkStart w:id="112" w:name="беспроводные-сети-wi-fi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Беспроводные сети Wi-fi</w:t>
      </w:r>
    </w:p>
    <w:p>
      <w:pPr>
        <w:pStyle w:val="FirstParagraph"/>
      </w:pPr>
      <w:r>
        <w:t xml:space="preserve">Действительно, это определение Wi-Fi (рис. 18).</w:t>
      </w:r>
    </w:p>
    <w:bookmarkStart w:id="95" w:name="fig:018"/>
    <w:p>
      <w:pPr>
        <w:pStyle w:val="CaptionedFigure"/>
      </w:pPr>
      <w:r>
        <w:drawing>
          <wp:inline>
            <wp:extent cx="3733800" cy="1856431"/>
            <wp:effectExtent b="0" l="0" r="0" t="0"/>
            <wp:docPr descr="Рис. 18: Вопрос 2.4.1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6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Вопрос 2.4.1</w:t>
      </w:r>
    </w:p>
    <w:bookmarkEnd w:id="95"/>
    <w:p>
      <w:pPr>
        <w:pStyle w:val="BodyText"/>
      </w:pPr>
      <w:r>
        <w:t xml:space="preserve">Для целей работы в Интернете Wi-Fi обычно располагается как канальный уровень (эквивалентный физическому и канальному уровням модели OSI) ниже интернет-уровня интернет-протокола. Это означает, что узлы имеют связанный интернет-адрес, и при подходящем подключении это обеспечивает полный доступ в Интернет. (рис. 19).</w:t>
      </w:r>
    </w:p>
    <w:bookmarkStart w:id="99" w:name="fig:019"/>
    <w:p>
      <w:pPr>
        <w:pStyle w:val="CaptionedFigure"/>
      </w:pPr>
      <w:r>
        <w:drawing>
          <wp:inline>
            <wp:extent cx="3733800" cy="1865169"/>
            <wp:effectExtent b="0" l="0" r="0" t="0"/>
            <wp:docPr descr="Рис. 19: Вопрос 2.4.2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5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Вопрос 2.4.2</w:t>
      </w:r>
    </w:p>
    <w:bookmarkEnd w:id="99"/>
    <w:p>
      <w:pPr>
        <w:pStyle w:val="BodyText"/>
      </w:pPr>
      <w:r>
        <w:t xml:space="preserve">WEP (Wired Equivalent Privacy) – устаревший и небезопасный метод проверки подлинности. Это первый и не очень удачный метод защиты. Злоумышленники без проблем получают доступ к беспроводным сетям, которые защищены с помощью WEP, был заменен остальными представленными (рис. 20).</w:t>
      </w:r>
    </w:p>
    <w:bookmarkStart w:id="103" w:name="fig:020"/>
    <w:p>
      <w:pPr>
        <w:pStyle w:val="CaptionedFigure"/>
      </w:pPr>
      <w:r>
        <w:drawing>
          <wp:inline>
            <wp:extent cx="3733800" cy="1946682"/>
            <wp:effectExtent b="0" l="0" r="0" t="0"/>
            <wp:docPr descr="Рис. 20: Вопрос 2.4.3" title="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6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Вопрос 2.4.3</w:t>
      </w:r>
    </w:p>
    <w:bookmarkEnd w:id="103"/>
    <w:p>
      <w:pPr>
        <w:pStyle w:val="BodyText"/>
      </w:pPr>
      <w:r>
        <w:t xml:space="preserve">Нужно аутентифицировать устройства и позже передаются зашифрованные данные (рис. 21).</w:t>
      </w:r>
    </w:p>
    <w:bookmarkStart w:id="107" w:name="fig:021"/>
    <w:p>
      <w:pPr>
        <w:pStyle w:val="CaptionedFigure"/>
      </w:pPr>
      <w:r>
        <w:drawing>
          <wp:inline>
            <wp:extent cx="3733800" cy="1877447"/>
            <wp:effectExtent b="0" l="0" r="0" t="0"/>
            <wp:docPr descr="Рис. 21: Вопрос 2.4.4" title="" id="105" name="Picture"/>
            <a:graphic>
              <a:graphicData uri="http://schemas.openxmlformats.org/drawingml/2006/picture">
                <pic:pic>
                  <pic:nvPicPr>
                    <pic:cNvPr descr="image/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7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Вопрос 2.4.4</w:t>
      </w:r>
    </w:p>
    <w:bookmarkEnd w:id="107"/>
    <w:p>
      <w:pPr>
        <w:pStyle w:val="BodyText"/>
      </w:pPr>
      <w:r>
        <w:t xml:space="preserve">В целом, понятно по названию, что WPA2 Personal для личного использования, то есть для домашней сети, enterprise - для предпиятий (рис. 22).</w:t>
      </w:r>
    </w:p>
    <w:bookmarkStart w:id="111" w:name="fig:022"/>
    <w:p>
      <w:pPr>
        <w:pStyle w:val="CaptionedFigure"/>
      </w:pPr>
      <w:r>
        <w:drawing>
          <wp:inline>
            <wp:extent cx="3733800" cy="1711473"/>
            <wp:effectExtent b="0" l="0" r="0" t="0"/>
            <wp:docPr descr="Рис. 22: Вопрос 2.4.5" title="" id="109" name="Picture"/>
            <a:graphic>
              <a:graphicData uri="http://schemas.openxmlformats.org/drawingml/2006/picture">
                <pic:pic>
                  <pic:nvPicPr>
                    <pic:cNvPr descr="image/2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1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Вопрос 2.4.5</w:t>
      </w:r>
    </w:p>
    <w:bookmarkEnd w:id="111"/>
    <w:bookmarkEnd w:id="112"/>
    <w:bookmarkEnd w:id="113"/>
    <w:bookmarkStart w:id="11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контрольных заданий 1го блока внешнего курса</w:t>
      </w:r>
      <w:r>
        <w:t xml:space="preserve"> </w:t>
      </w:r>
      <w:r>
        <w:t xml:space="preserve">“Основы Кибербезопасности”</w:t>
      </w:r>
      <w:r>
        <w:t xml:space="preserve"> </w:t>
      </w:r>
      <w:r>
        <w:t xml:space="preserve">я узнал о работе базовых сетевых протоколов, куки, Wi-Fi сетей и браузера Tor.</w:t>
      </w:r>
    </w:p>
    <w:bookmarkEnd w:id="1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5" Target="media/rId25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Внешний курс. Блок 1: Безопасность в сети</dc:title>
  <dc:creator>Мурашов Иван Вячеславович</dc:creator>
  <dc:language>ru-RU</dc:language>
  <cp:keywords/>
  <dcterms:created xsi:type="dcterms:W3CDTF">2025-05-16T21:08:09Z</dcterms:created>
  <dcterms:modified xsi:type="dcterms:W3CDTF">2025-05-16T21:08:09Z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