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5.png" ContentType="image/png"/>
  <Override PartName="/word/media/rId98.png" ContentType="image/png"/>
  <Override PartName="/word/media/rId102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Сетевые технологии</w:t>
      </w:r>
    </w:p>
    <w:p>
      <w:pPr>
        <w:pStyle w:val="Author"/>
      </w:pPr>
      <w:r>
        <w:t xml:space="preserve">Мурашов Иван Вячеславович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— изучение принципов распределения и настройки адресного пространства на устройствах сети.</w:t>
      </w:r>
    </w:p>
    <w:bookmarkEnd w:id="20"/>
    <w:bookmarkStart w:id="13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7" w:name="разбиение-сети-на-подсети"/>
    <w:p>
      <w:pPr>
        <w:pStyle w:val="Heading2"/>
      </w:pPr>
      <w:r>
        <w:t xml:space="preserve">2.1 Разбиение сети на подсети</w:t>
      </w:r>
    </w:p>
    <w:p>
      <w:pPr>
        <w:pStyle w:val="FirstParagraph"/>
      </w:pPr>
      <w:r>
        <w:t xml:space="preserve">Задана IPv4-сеть 172.16.20.0/24. Распишем характеристики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58664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6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Таблица характеристик сети</w:t>
            </w:r>
          </w:p>
          <w:bookmarkEnd w:id="24"/>
        </w:tc>
      </w:tr>
    </w:tbl>
    <w:p>
      <w:pPr>
        <w:pStyle w:val="BodyText"/>
      </w:pPr>
      <w:r>
        <w:t xml:space="preserve">В случае подсети со 126 узлами мы имеем 128 адресов (+2 на broadcast и на адрес самой сети). Маска подсети: 255.255.255.128. Broadcast адрес: 172.16.20.127. (префикс /25) Диапазон адресов: 172.16.20.1 – 172.16.20.126.</w:t>
      </w:r>
      <w:r>
        <w:t xml:space="preserve"> </w:t>
      </w:r>
      <w:r>
        <w:t xml:space="preserve">Для последующих двух подсетей имеем 64 (+2) адреса. Маска подсети: 255.255.255.192. (префикс /26) Broadcast адрес подсети 2: 172.16.20.191. Диапазон адресов подсети 2: 172.16.20.129 – 172.16.20.190.</w:t>
      </w:r>
      <w:r>
        <w:t xml:space="preserve"> </w:t>
      </w:r>
      <w:r>
        <w:t xml:space="preserve">Broadcast адрес подсети 2: 172.16.20.255. (префикс /26) Диапазон адресов подсети 3: 172.16.20.193 – 172.16.20.254.</w:t>
      </w:r>
    </w:p>
    <w:p>
      <w:pPr>
        <w:pStyle w:val="BodyText"/>
      </w:pPr>
      <w:r>
        <w:t xml:space="preserve">Задана сеть 10.10.1.64/26. Распишем характеристики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57008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0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Таблица характеристик сети</w:t>
            </w:r>
          </w:p>
          <w:bookmarkEnd w:id="28"/>
        </w:tc>
      </w:tr>
    </w:tbl>
    <w:p>
      <w:pPr>
        <w:pStyle w:val="BodyText"/>
      </w:pPr>
      <w:r>
        <w:t xml:space="preserve">Нам потребуется 30+2=32 адреса. Маска подсети: 255.255.255.224 (префикс 32-log(2)32 = 27). Broadcast адрес: 10.10.1.95. Диапазон адресов: 10.10.1.65 – 10.10.1.94.</w:t>
      </w:r>
    </w:p>
    <w:p>
      <w:pPr>
        <w:pStyle w:val="BodyText"/>
      </w:pPr>
      <w:r>
        <w:t xml:space="preserve">Задана сеть 10.10.1.0/26. Распишем характеристики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5904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0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Таблица характеристик сети</w:t>
            </w:r>
          </w:p>
          <w:bookmarkEnd w:id="32"/>
        </w:tc>
      </w:tr>
    </w:tbl>
    <w:p>
      <w:pPr>
        <w:pStyle w:val="BodyText"/>
      </w:pPr>
      <w:r>
        <w:t xml:space="preserve">Нам потребуется 14+2=16 адреса. Маска подсети: 255.255.255.240 (префикс /28). Broadcast адрес: 10.10.1.15. Диапазон адресов: 10.10.1.1 – 10.10.1.14.</w:t>
      </w:r>
    </w:p>
    <w:p>
      <w:pPr>
        <w:pStyle w:val="BodyText"/>
      </w:pPr>
      <w:r>
        <w:t xml:space="preserve">Задана сеть 2001:db8:c0de::/48. Распишем характеристики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64374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3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Таблица характеристик сети</w:t>
            </w:r>
          </w:p>
          <w:bookmarkEnd w:id="36"/>
        </w:tc>
      </w:tr>
    </w:tbl>
    <w:p>
      <w:pPr>
        <w:pStyle w:val="BodyText"/>
      </w:pPr>
      <w:r>
        <w:t xml:space="preserve">Разобьём сеть на 2 подсети.</w:t>
      </w:r>
      <w:r>
        <w:t xml:space="preserve"> </w:t>
      </w:r>
      <w:r>
        <w:t xml:space="preserve">Способ с использованием идентификатора подсети:</w:t>
      </w:r>
      <w:r>
        <w:t xml:space="preserve"> </w:t>
      </w:r>
      <w:r>
        <w:t xml:space="preserve">Позаимствуем 1 бит из SubnetID, получим префикс /49. Таким образом, получим подсети 2001:db8:c0de::/49 и 2001:db8:c0de:8000::/49.</w:t>
      </w:r>
    </w:p>
    <w:p>
      <w:pPr>
        <w:pStyle w:val="BodyText"/>
      </w:pPr>
      <w:r>
        <w:t xml:space="preserve">Способ с использованием идентификатора интерфейса:</w:t>
      </w:r>
      <w:r>
        <w:t xml:space="preserve"> </w:t>
      </w:r>
      <w:r>
        <w:t xml:space="preserve">Позаимствуем 1 бит из InterfaceID, получим префикс /65. Таким образом, получим подсети 2001:db8:c0de::/65 и 2001:db8:c0de:0000:8000::/65.</w:t>
      </w:r>
    </w:p>
    <w:bookmarkEnd w:id="37"/>
    <w:bookmarkStart w:id="106" w:name="Xaa98339a1bc9a01348fb7b4bcd912a06bb3c57d"/>
    <w:p>
      <w:pPr>
        <w:pStyle w:val="Heading2"/>
      </w:pPr>
      <w:r>
        <w:t xml:space="preserve">2.2 Настройка двойного стека адресации IPv4 и IPv6 в локальной сети</w:t>
      </w:r>
    </w:p>
    <w:p>
      <w:pPr>
        <w:pStyle w:val="FirstParagraph"/>
      </w:pPr>
      <w:r>
        <w:t xml:space="preserve">Задана топология сети с двумя локальными подсетями. Для первой подсети выделено адресное пространство с адресами IPv4, для второй — адресное пространство с адресами IPv6. Построим её в GNS3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89726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7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Топология сети с двумя локальными подсетями</w:t>
            </w:r>
          </w:p>
          <w:bookmarkEnd w:id="41"/>
        </w:tc>
      </w:tr>
    </w:tbl>
    <w:p>
      <w:pPr>
        <w:pStyle w:val="BodyText"/>
      </w:pPr>
      <w:r>
        <w:t xml:space="preserve">Настроим IPv4-адресацию для интерфейсов узлов PC1, PC2, Server и просмотрим конфигурацию IPv4 и IPv6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,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318849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88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Консоль VPCS (PC1)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409671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96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Консоль VPCS (PC2)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302597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25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Консоль VPCS (Server)</w:t>
            </w:r>
          </w:p>
          <w:bookmarkEnd w:id="53"/>
        </w:tc>
      </w:tr>
    </w:tbl>
    <w:p>
      <w:pPr>
        <w:pStyle w:val="BodyText"/>
      </w:pPr>
      <w:r>
        <w:t xml:space="preserve">Настроим IPv4-адресацию для интерфейсов локальной сети маршрутизатора FRR msk-ivmurashov-gw-01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35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Консоль FRR</w:t>
            </w:r>
          </w:p>
          <w:bookmarkEnd w:id="57"/>
        </w:tc>
      </w:tr>
    </w:tbl>
    <w:p>
      <w:pPr>
        <w:pStyle w:val="BodyText"/>
      </w:pPr>
      <w:r>
        <w:t xml:space="preserve">Проверяем конфигурацию маршрутизатора и настройки IPv4-адресации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470985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09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Консоль FRR</w:t>
            </w:r>
          </w:p>
          <w:bookmarkEnd w:id="61"/>
        </w:tc>
      </w:tr>
    </w:tbl>
    <w:p>
      <w:pPr>
        <w:pStyle w:val="BodyText"/>
      </w:pPr>
      <w:r>
        <w:t xml:space="preserve">Проверьте подключение с помощью команд ping и trace. Узлы PC1 и PC2 успешно отправляют эхо-запросы друг другу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179393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93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Ping PC1 и PC2</w:t>
            </w:r>
          </w:p>
          <w:bookmarkEnd w:id="65"/>
        </w:tc>
      </w:tr>
    </w:tbl>
    <w:p>
      <w:pPr>
        <w:pStyle w:val="BodyText"/>
      </w:pPr>
      <w:r>
        <w:t xml:space="preserve">Настроим IPv6-адресацию для интерфейсов узлов PC3, PC4, Server и просмотрим конфигурацию IPv4 и IPv6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,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,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454549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45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Консоль VPCS (PC1)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24976" cy="4658627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4976" cy="4658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Консоль VPCS (PC2)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522846" cy="106840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2846" cy="1068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Консоль VPCS (Server)</w:t>
            </w:r>
          </w:p>
          <w:bookmarkEnd w:id="77"/>
        </w:tc>
      </w:tr>
    </w:tbl>
    <w:p>
      <w:pPr>
        <w:pStyle w:val="BodyText"/>
      </w:pPr>
      <w:r>
        <w:t xml:space="preserve">Настроим IPv6-адресацию для интерфейсов локальной сети маршрутизатора VyOS msk-ivmurashov-gw-02. Перейдём в режим конфигурирования и изменим имя устройства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2451129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1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Консоль VyOS</w:t>
            </w:r>
          </w:p>
          <w:bookmarkEnd w:id="81"/>
        </w:tc>
      </w:tr>
    </w:tbl>
    <w:p>
      <w:pPr>
        <w:pStyle w:val="BodyText"/>
      </w:pPr>
      <w:r>
        <w:t xml:space="preserve">Назначим IPv6-адреса маршрутизатору msk-ivmurashov-gw-02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522846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28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Консоль VyOS</w:t>
            </w:r>
          </w:p>
          <w:bookmarkEnd w:id="85"/>
        </w:tc>
      </w:tr>
    </w:tbl>
    <w:p>
      <w:pPr>
        <w:pStyle w:val="BodyText"/>
      </w:pPr>
      <w:r>
        <w:t xml:space="preserve">Проверьте подключение с помощью команд ping и trace на узлах PC1, PC2, PC3, PC4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,</w:t>
      </w:r>
      <w:r>
        <w:t xml:space="preserve"> 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1882282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2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Ping PC1 и PC2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1185949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5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Ping PC3 и PC4</w:t>
            </w:r>
          </w:p>
          <w:bookmarkEnd w:id="93"/>
        </w:tc>
      </w:tr>
    </w:tbl>
    <w:p>
      <w:pPr>
        <w:pStyle w:val="BodyText"/>
      </w:pPr>
      <w:r>
        <w:t xml:space="preserve">Убедимся, что устройства из подсети IPv4 не доступны для устройств из подсети IPv6 и наоборот. Только сервер двойного стека может обращаться к устройствам обеих подсетей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,</w:t>
      </w:r>
      <w:r>
        <w:t xml:space="preserve"> 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,</w:t>
      </w:r>
      <w:r>
        <w:t xml:space="preserve"> 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3133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3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Ping PC3 с PC1 и наоборот</w:t>
            </w:r>
          </w:p>
          <w:bookmarkEnd w:id="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221672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6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Ping PC4 с PC2 и наоборот</w:t>
            </w:r>
          </w:p>
          <w:bookmarkEnd w:id="1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4785574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85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Ping всех PC с Server</w:t>
            </w:r>
          </w:p>
          <w:bookmarkEnd w:id="105"/>
        </w:tc>
      </w:tr>
    </w:tbl>
    <w:bookmarkEnd w:id="106"/>
    <w:bookmarkStart w:id="135" w:name="задание-для-самостоятельного-выполнения"/>
    <w:p>
      <w:pPr>
        <w:pStyle w:val="Heading2"/>
      </w:pPr>
      <w:r>
        <w:t xml:space="preserve">2.3 Задание для самостоятельного выполнения</w:t>
      </w:r>
    </w:p>
    <w:p>
      <w:pPr>
        <w:pStyle w:val="FirstParagraph"/>
      </w:pPr>
      <w:r>
        <w:t xml:space="preserve">Задана топология сети. Предполагается, что маршрутизатор разбивает сеть на две подсети с адресами</w:t>
      </w:r>
      <w:r>
        <w:t xml:space="preserve"> </w:t>
      </w:r>
      <w:r>
        <w:t xml:space="preserve">IPv4 и IPv6:</w:t>
      </w:r>
      <w:r>
        <w:t xml:space="preserve"> </w:t>
      </w:r>
      <w:r>
        <w:t xml:space="preserve">– подсеть 1: 10.10.1.96/27; 2001:DB8:1:1::/64;</w:t>
      </w:r>
      <w:r>
        <w:t xml:space="preserve"> </w:t>
      </w:r>
      <w:r>
        <w:t xml:space="preserve">– подсеть 2: 10.10.1.16/28; 2001:DB8:1:4::/64.</w:t>
      </w:r>
    </w:p>
    <w:p>
      <w:pPr>
        <w:pStyle w:val="BodyText"/>
      </w:pPr>
      <w:r>
        <w:t xml:space="preserve">Составим схему согласно топологии в GNS3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1030646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0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Топология сети с двумя локальными подсетями</w:t>
            </w:r>
          </w:p>
          <w:bookmarkEnd w:id="110"/>
        </w:tc>
      </w:tr>
    </w:tbl>
    <w:p>
      <w:pPr>
        <w:pStyle w:val="BodyText"/>
      </w:pPr>
      <w:r>
        <w:t xml:space="preserve">Назначим PC1 IPv4-адрес 10.10.1.98/27 и IPv6-адрес 2001:db8:1:1::2/64, проверим, что все адреса корректно заданы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733800" cy="4576644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76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Консоль VPCS (PC1)</w:t>
            </w:r>
          </w:p>
          <w:bookmarkEnd w:id="114"/>
        </w:tc>
      </w:tr>
    </w:tbl>
    <w:p>
      <w:pPr>
        <w:pStyle w:val="BodyText"/>
      </w:pPr>
      <w:r>
        <w:t xml:space="preserve">Назначим PC2 IPv4-адрес 10.10.1.18/28 и IPv6-адрес 2001:db8:1:4::2/64, проверим, что все адреса корректно заданы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733800" cy="4660812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0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Консоль VPCS (PC2)</w:t>
            </w:r>
          </w:p>
          <w:bookmarkEnd w:id="118"/>
        </w:tc>
      </w:tr>
    </w:tbl>
    <w:p>
      <w:pPr>
        <w:pStyle w:val="BodyText"/>
      </w:pPr>
      <w:r>
        <w:t xml:space="preserve">Затем сконфигурируем VyOS, настроив адреса на сетевых интерфейсах eth0, eth1 и проверив, какие изменения мы внесли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733800" cy="3859168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59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Консоль VyOS</w:t>
            </w:r>
          </w:p>
          <w:bookmarkEnd w:id="122"/>
        </w:tc>
      </w:tr>
    </w:tbl>
    <w:p>
      <w:pPr>
        <w:pStyle w:val="BodyText"/>
      </w:pPr>
      <w:r>
        <w:t xml:space="preserve">Проверим, что PC2 недоступен с PC1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542096" cy="243519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2096" cy="24351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Консоль VPCS (PC1)</w:t>
            </w:r>
          </w:p>
          <w:bookmarkEnd w:id="126"/>
        </w:tc>
      </w:tr>
    </w:tbl>
    <w:p>
      <w:pPr>
        <w:pStyle w:val="BodyText"/>
      </w:pPr>
      <w:r>
        <w:t xml:space="preserve">Проверим, что PC1 недоступен с PC2 ([рис.</w:t>
      </w:r>
      <w:r>
        <w:t xml:space="preserve"> </w:t>
      </w:r>
      <w:hyperlink w:anchor="fig-027">
        <w:r>
          <w:rPr>
            <w:rStyle w:val="Hyperlink"/>
          </w:rPr>
          <w:t xml:space="preserve">Рисунок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2531444" cy="60639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1444" cy="606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Консоль VPCS (PC2)</w:t>
            </w:r>
          </w:p>
          <w:bookmarkEnd w:id="130"/>
        </w:tc>
      </w:tr>
    </w:tbl>
    <w:p>
      <w:pPr>
        <w:pStyle w:val="BodyText"/>
      </w:pPr>
      <w:r>
        <w:t xml:space="preserve">Проверим, что все хосты доступны с VyOS ([рис.</w:t>
      </w:r>
      <w:r>
        <w:t xml:space="preserve"> </w:t>
      </w:r>
      <w:hyperlink w:anchor="fig-028">
        <w:r>
          <w:rPr>
            <w:rStyle w:val="Hyperlink"/>
          </w:rPr>
          <w:t xml:space="preserve">Рисунок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8"/>
          <w:p>
            <w:pPr>
              <w:pStyle w:val="Compact"/>
              <w:jc w:val="center"/>
            </w:pPr>
            <w:r>
              <w:drawing>
                <wp:inline>
                  <wp:extent cx="3733800" cy="538087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80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Консоль VyOS</w:t>
            </w:r>
          </w:p>
          <w:bookmarkEnd w:id="134"/>
        </w:tc>
      </w:tr>
    </w:tbl>
    <w:bookmarkEnd w:id="135"/>
    <w:bookmarkEnd w:id="136"/>
    <w:bookmarkStart w:id="13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данной лабораторной работы мной были изучены принципы распределения и приобретены навыки по настройке адресного пространства на устройствах сети.</w:t>
      </w:r>
    </w:p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5" Target="media/rId25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Мурашов Иван Вячеславович</dc:creator>
  <dc:language>ru-RU</dc:language>
  <cp:keywords/>
  <dcterms:created xsi:type="dcterms:W3CDTF">2025-12-07T20:29:59Z</dcterms:created>
  <dcterms:modified xsi:type="dcterms:W3CDTF">2025-12-07T20:29:59Z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rossref">
    <vt:lpwstr/>
  </property>
  <property fmtid="{D5CDD505-2E9C-101B-9397-08002B2CF9AE}" pid="11" name="csl">
    <vt:lpwstr>_resources/csl/gost-r-7-0-5-2008-numeric.csl</vt:lpwstr>
  </property>
  <property fmtid="{D5CDD505-2E9C-101B-9397-08002B2CF9AE}" pid="12" name="documentclass">
    <vt:lpwstr>scrreprt</vt:lpwstr>
  </property>
  <property fmtid="{D5CDD505-2E9C-101B-9397-08002B2CF9AE}" pid="13" name="fontsize">
    <vt:lpwstr>12pt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license">
    <vt:lpwstr/>
  </property>
  <property fmtid="{D5CDD505-2E9C-101B-9397-08002B2CF9AE}" pid="19" name="linestretch">
    <vt:lpwstr>1.5</vt:lpwstr>
  </property>
  <property fmtid="{D5CDD505-2E9C-101B-9397-08002B2CF9AE}" pid="20" name="lof">
    <vt:lpwstr>True</vt:lpwstr>
  </property>
  <property fmtid="{D5CDD505-2E9C-101B-9397-08002B2CF9AE}" pid="21" name="lot">
    <vt:lpwstr>True</vt:lpwstr>
  </property>
  <property fmtid="{D5CDD505-2E9C-101B-9397-08002B2CF9AE}" pid="22" name="papersize">
    <vt:lpwstr>a4</vt:lpwstr>
  </property>
  <property fmtid="{D5CDD505-2E9C-101B-9397-08002B2CF9AE}" pid="23" name="polyglossia-lang">
    <vt:lpwstr/>
  </property>
  <property fmtid="{D5CDD505-2E9C-101B-9397-08002B2CF9AE}" pid="24" name="polyglossia-otherlangs">
    <vt:lpwstr/>
  </property>
  <property fmtid="{D5CDD505-2E9C-101B-9397-08002B2CF9AE}" pid="25" name="subtitle">
    <vt:lpwstr>Сетевые технологии</vt:lpwstr>
  </property>
  <property fmtid="{D5CDD505-2E9C-101B-9397-08002B2CF9AE}" pid="26" name="toc-title">
    <vt:lpwstr>Содержание</vt:lpwstr>
  </property>
</Properties>
</file>