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Сетевые технологии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 данной работы — изучение принципов технологий Ethernet и Fast Ethernet и практическое освоение методик оценки работоспособности сети, построенной на базе технологии Fast Ethernet.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Конфигурации сети приведены в табл. 2.4 (</w:t>
      </w:r>
      <w:hyperlink w:anchor="fig-005">
        <w:r>
          <w:rPr>
            <w:rStyle w:val="Hyperlink"/>
          </w:rPr>
          <w:t xml:space="preserve">рис. 1</w:t>
        </w:r>
      </w:hyperlink>
      <w:r>
        <w:t xml:space="preserve">)., топология сети представлена на</w:t>
      </w:r>
      <w:r>
        <w:t xml:space="preserve"> </w:t>
      </w:r>
      <w:hyperlink w:anchor="fig-006">
        <w:r>
          <w:rPr>
            <w:rStyle w:val="Hyperlink"/>
          </w:rPr>
          <w:t xml:space="preserve">рис.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5"/>
          <w:p>
            <w:pPr>
              <w:pStyle w:val="Compact"/>
              <w:jc w:val="center"/>
            </w:pPr>
            <w:r>
              <w:drawing>
                <wp:inline>
                  <wp:extent cx="3733800" cy="2124403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5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24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Таблица значений</w:t>
            </w:r>
          </w:p>
          <w:bookmarkEnd w:id="2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6"/>
          <w:p>
            <w:pPr>
              <w:pStyle w:val="Compact"/>
              <w:jc w:val="center"/>
            </w:pPr>
            <w:r>
              <w:drawing>
                <wp:inline>
                  <wp:extent cx="3733800" cy="220603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6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06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Топология сети</w:t>
            </w:r>
          </w:p>
          <w:bookmarkEnd w:id="29"/>
        </w:tc>
      </w:tr>
    </w:tbl>
    <w:p>
      <w:pPr>
        <w:pStyle w:val="BodyText"/>
      </w:pPr>
      <w:r>
        <w:t xml:space="preserve">Оценим работоспособность сети в соответствии с первой моделью. Посчитаем диаметр домена коллизий и сравним его с предельно допустимым значением для нашей конфигурации сети.</w:t>
      </w:r>
      <w:r>
        <w:t xml:space="preserve"> </w:t>
      </w:r>
      <w:r>
        <w:t xml:space="preserve">Сеть состоит из терминалов с интерфейсами TX и двух повторителей класса II, следовательно предельно допустимый диаметр домена коллизий равен 205 м в соответствии с таблицей (</w:t>
      </w:r>
      <w:hyperlink w:anchor="fig-007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7"/>
          <w:p>
            <w:pPr>
              <w:pStyle w:val="Compact"/>
              <w:jc w:val="center"/>
            </w:pPr>
            <w:r>
              <w:drawing>
                <wp:inline>
                  <wp:extent cx="3733800" cy="2059647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7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59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Предельно допустимый диаметр домена коллизий в Fast Ethernet</w:t>
            </w:r>
          </w:p>
          <w:bookmarkEnd w:id="33"/>
        </w:tc>
      </w:tr>
    </w:tbl>
    <w:p>
      <w:pPr>
        <w:pStyle w:val="BodyText"/>
      </w:pPr>
      <w:r>
        <w:t xml:space="preserve">В Excel составляю таблицу со всеми метриками, выделяя жёлтым те элементы, которые в сумме будут давать наибольшее значение с учётом повторетеля. Рассчитываю диаметр домена коллизий как сумму выделенных ячеек. Формирую столбец</w:t>
      </w:r>
      <w:r>
        <w:t xml:space="preserve"> </w:t>
      </w:r>
      <w:r>
        <w:t xml:space="preserve">“Работоспособность”</w:t>
      </w:r>
      <w:r>
        <w:t xml:space="preserve">, где TRUE - если значение диаметра &lt;= 205 и FALSE - в противном случае (</w:t>
      </w:r>
      <w:hyperlink w:anchor="fig-001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1"/>
          <w:p>
            <w:pPr>
              <w:pStyle w:val="Compact"/>
              <w:jc w:val="center"/>
            </w:pPr>
            <w:r>
              <w:drawing>
                <wp:inline>
                  <wp:extent cx="3733800" cy="496186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96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Оценка работоспособности сети в соответствии с первой моделью</w:t>
            </w:r>
          </w:p>
          <w:bookmarkEnd w:id="37"/>
        </w:tc>
      </w:tr>
    </w:tbl>
    <w:p>
      <w:pPr>
        <w:pStyle w:val="BodyText"/>
      </w:pPr>
      <w:r>
        <w:t xml:space="preserve">Затем необходимо оценить работоспособность сети в соответствии со второй моделью. Дублирую таблицу метрик и выделяю сегменты, которые в сумме дают наихудший путь между двумя узлами домена коллизий (</w:t>
      </w:r>
      <w:hyperlink w:anchor="fig-002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2"/>
          <w:p>
            <w:pPr>
              <w:pStyle w:val="Compact"/>
              <w:jc w:val="center"/>
            </w:pPr>
            <w:r>
              <w:drawing>
                <wp:inline>
                  <wp:extent cx="3733800" cy="80582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0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Таблица метрик</w:t>
            </w:r>
          </w:p>
          <w:bookmarkEnd w:id="41"/>
        </w:tc>
      </w:tr>
    </w:tbl>
    <w:p>
      <w:pPr>
        <w:pStyle w:val="BodyText"/>
      </w:pPr>
      <w:r>
        <w:t xml:space="preserve">Просматриваю таблицу временных задержек компонентов сети Fast Ethernet, дублирую значения для витой пары категории 5, повторителя класса II и пары терминалов с интерфейсами TX себе в Excel (</w:t>
      </w:r>
      <w:hyperlink w:anchor="fig-003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3"/>
          <w:p>
            <w:pPr>
              <w:pStyle w:val="Compact"/>
              <w:jc w:val="center"/>
            </w:pPr>
            <w:r>
              <w:drawing>
                <wp:inline>
                  <wp:extent cx="3733800" cy="859366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59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Временные задержки компонентов сети Fast Ethernet</w:t>
            </w:r>
          </w:p>
          <w:bookmarkEnd w:id="45"/>
        </w:tc>
      </w:tr>
    </w:tbl>
    <w:p>
      <w:pPr>
        <w:pStyle w:val="BodyText"/>
      </w:pPr>
      <w:r>
        <w:t xml:space="preserve">Составляю таблицу с выделенными элементами помноженными на коэффициент 1,112 (удельное время двойного оборота для нашей витой пары), затем формирую столбец с макс. временем двойного оборота, значения которого являются суммами значений по строке + времени для повторителей и пары терминалов. Формирую столбец с макс. временем двойного оборота с учётом непредвиденных задержек, прибавляя 4 битовых интервала к значениям из предыдущего столбца.</w:t>
      </w:r>
      <w:r>
        <w:t xml:space="preserve"> </w:t>
      </w:r>
      <w:r>
        <w:t xml:space="preserve">“Работоспособность”</w:t>
      </w:r>
      <w:r>
        <w:t xml:space="preserve"> </w:t>
      </w:r>
      <w:r>
        <w:t xml:space="preserve">- наш следующий столбец, где значения TRUE и FALSE проставлены на основе условия</w:t>
      </w:r>
      <w:r>
        <w:t xml:space="preserve"> </w:t>
      </w:r>
      <w:r>
        <w:t xml:space="preserve">“Если макс. время двойного оборота с учётом непредвиденных задержек &lt;= 512, то TRUE”</w:t>
      </w:r>
      <w:r>
        <w:t xml:space="preserve"> </w:t>
      </w:r>
      <w:r>
        <w:t xml:space="preserve">(</w:t>
      </w:r>
      <w:hyperlink w:anchor="fig-004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4"/>
          <w:p>
            <w:pPr>
              <w:pStyle w:val="Compact"/>
              <w:jc w:val="center"/>
            </w:pPr>
            <w:r>
              <w:drawing>
                <wp:inline>
                  <wp:extent cx="3733800" cy="439993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4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39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Оценка работоспособности сети в соответствии со второй моделью</w:t>
            </w:r>
          </w:p>
          <w:bookmarkEnd w:id="49"/>
        </w:tc>
      </w:tr>
    </w:tbl>
    <w:bookmarkEnd w:id="50"/>
    <w:bookmarkStart w:id="51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данной лабораторной работы я изучил принципы технологий Ethernet и Fast Ethernet и практически освоил методики оценки работоспособности сети, построенной на базе технологии Fast Ethernet.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Мурашов Иван Вячеславович</dc:creator>
  <dc:language>ru-RU</dc:language>
  <cp:keywords/>
  <dcterms:created xsi:type="dcterms:W3CDTF">2025-09-27T13:54:46Z</dcterms:created>
  <dcterms:modified xsi:type="dcterms:W3CDTF">2025-09-27T13:54:46Z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-config">
    <vt:lpwstr>True</vt:lpwstr>
  </property>
  <property fmtid="{D5CDD505-2E9C-101B-9397-08002B2CF9AE}" pid="7" name="bibliography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csl">
    <vt:lpwstr>_resources/csl/gost-r-7-0-5-2008-numeric.csl</vt:lpwstr>
  </property>
  <property fmtid="{D5CDD505-2E9C-101B-9397-08002B2CF9AE}" pid="12" name="documentclass">
    <vt:lpwstr>scrreprt</vt:lpwstr>
  </property>
  <property fmtid="{D5CDD505-2E9C-101B-9397-08002B2CF9AE}" pid="13" name="fontsize">
    <vt:lpwstr>12pt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cense">
    <vt:lpwstr/>
  </property>
  <property fmtid="{D5CDD505-2E9C-101B-9397-08002B2CF9AE}" pid="19" name="linestretch">
    <vt:lpwstr>1.5</vt:lpwstr>
  </property>
  <property fmtid="{D5CDD505-2E9C-101B-9397-08002B2CF9AE}" pid="20" name="lof">
    <vt:lpwstr>True</vt:lpwstr>
  </property>
  <property fmtid="{D5CDD505-2E9C-101B-9397-08002B2CF9AE}" pid="21" name="lot">
    <vt:lpwstr>True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subtitle">
    <vt:lpwstr>Сетевые технологии</vt:lpwstr>
  </property>
  <property fmtid="{D5CDD505-2E9C-101B-9397-08002B2CF9AE}" pid="26" name="toc-title">
    <vt:lpwstr>Содержание</vt:lpwstr>
  </property>
</Properties>
</file>