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A5C"/>
          <w:sz w:val="36"/>
        </w:rPr>
        <w:t>Frozen Statistical Analysis and Implementation Plan</w:t>
      </w:r>
    </w:p>
    <w:p>
      <w:pPr>
        <w:jc w:val="center"/>
      </w:pPr>
      <w:r>
        <w:rPr>
          <w:rFonts w:ascii="Arial" w:hAnsi="Arial"/>
          <w:color w:val="325F91"/>
          <w:sz w:val="22"/>
        </w:rPr>
        <w:t>Extent, distribution, and longitudinal persistence of acquisition variability</w:t>
      </w:r>
    </w:p>
    <w:p>
      <w:pPr>
        <w:jc w:val="center"/>
      </w:pPr>
      <w:r>
        <w:rPr>
          <w:rFonts w:ascii="Arial" w:hAnsi="Arial"/>
          <w:i/>
          <w:color w:val="5A5A5A"/>
          <w:sz w:val="19"/>
        </w:rPr>
        <w:t>Production specification for the recording-quality cohort-characterization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3A5C"/>
                <w:sz w:val="17"/>
              </w:rPr>
              <w:t>Status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FROZEN BEFORE FINAL INFERENTIAL RUN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3A5C"/>
                <w:sz w:val="17"/>
              </w:rPr>
              <w:t>Analysis population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519 recordings from 224 participants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3A5C"/>
                <w:sz w:val="17"/>
              </w:rPr>
              <w:t>Cohorts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ALS: 418 recordings / 158 participants; Control: 101 recordings / 66 participants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3A5C"/>
                <w:sz w:val="17"/>
              </w:rPr>
              <w:t>Primary unit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Recording, with participant-level clustering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3A5C"/>
                <w:sz w:val="17"/>
              </w:rPr>
              <w:t>Production notebook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01_extent_distribution_persistence_FINAL.ipynb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A5C"/>
              </w:rPr>
              <w:t xml:space="preserve">Freeze statement. </w:t>
            </w:r>
            <w:r>
              <w:t>The estimands, model routes, support gates, multiplicity families, sensitivity analyses, diagnostics, exports, and figure structure in this document are fixed before the final run. Changes after viewing a result require a versioned amendment with a written rationale.</w:t>
            </w:r>
          </w:p>
        </w:tc>
      </w:tr>
    </w:tbl>
    <w:p>
      <w:pPr>
        <w:spacing w:after="0"/>
      </w:pPr>
    </w:p>
    <w:p>
      <w:pPr>
        <w:pStyle w:val="Heading1"/>
      </w:pPr>
      <w:r>
        <w:t>1. Scientific purpose and estimands</w:t>
      </w:r>
    </w:p>
    <w:p>
      <w:r>
        <w:t>This analysis characterizes how the validated recording-quality measurements are expressed in the cohort. It does not repeat analytical validation, construct a family score, or infer a causal source for any waveform pattern.</w:t>
      </w:r>
    </w:p>
    <w:p>
      <w:pPr>
        <w:pStyle w:val="CompactBullet"/>
      </w:pPr>
      <w:r>
        <w:t xml:space="preserve">• </w:t>
      </w:r>
      <w:r>
        <w:t>Extent and distribution: What values, dispersion, tails, zero states, and event burdens occur across recordings?</w:t>
      </w:r>
    </w:p>
    <w:p>
      <w:pPr>
        <w:pStyle w:val="CompactBullet"/>
      </w:pPr>
      <w:r>
        <w:t xml:space="preserve">• </w:t>
      </w:r>
      <w:r>
        <w:t>Persistence: How much variation is attributable to persistent between-participant differences rather than recording-to-recording variation?</w:t>
      </w:r>
    </w:p>
    <w:p>
      <w:pPr>
        <w:pStyle w:val="CompactBullet"/>
      </w:pPr>
      <w:r>
        <w:t xml:space="preserve">• </w:t>
      </w:r>
      <w:r>
        <w:t>Longitudinal change: Within ALS, do indicator values change systematically with time since the participant’s first eligible recording?</w:t>
      </w:r>
    </w:p>
    <w:p>
      <w:pPr>
        <w:pStyle w:val="CompactBullet"/>
      </w:pPr>
      <w:r>
        <w:t xml:space="preserve">• </w:t>
      </w:r>
      <w:r>
        <w:t>Cohort structure: Do ALS and control recordings differ after accounting for repeated observations within participants?</w:t>
      </w:r>
    </w:p>
    <w:p>
      <w:pPr>
        <w:pStyle w:val="CompactBullet"/>
      </w:pPr>
      <w:r>
        <w:t xml:space="preserve">• </w:t>
      </w:r>
      <w:r>
        <w:t>Clinical structure: Within ALS, are indicator values associated with average bulbar severity, within-participant bulbar change, or both?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A5C"/>
              </w:rPr>
              <w:t xml:space="preserve">Interpretive boundary. </w:t>
            </w:r>
            <w:r>
              <w:t>These analyses describe cohort and clinical structure. They are not causal effects, do not identify the physical source of an artifact, and do not provide additional evidence of analytical validity.</w:t>
            </w:r>
          </w:p>
        </w:tc>
      </w:tr>
    </w:tbl>
    <w:p>
      <w:pPr>
        <w:spacing w:after="0"/>
      </w:pPr>
    </w:p>
    <w:p>
      <w:pPr>
        <w:pStyle w:val="Heading1"/>
      </w:pPr>
      <w:r>
        <w:t>2. Data structure, governance, and blocking audits</w:t>
      </w:r>
    </w:p>
    <w:p>
      <w:pPr>
        <w:pStyle w:val="CompactBullet"/>
      </w:pPr>
      <w:r>
        <w:t xml:space="preserve">• </w:t>
      </w:r>
      <w:r>
        <w:t>Primary observational unit: Each eligible recording remains a separate observation. Recordings months apart are not collapsed because disease state, setup, behavior, and environment may change.</w:t>
      </w:r>
    </w:p>
    <w:p>
      <w:pPr>
        <w:pStyle w:val="CompactBullet"/>
      </w:pPr>
      <w:r>
        <w:t xml:space="preserve">• </w:t>
      </w:r>
      <w:r>
        <w:t>Clustering unit: participant_id.</w:t>
      </w:r>
    </w:p>
    <w:p>
      <w:pPr>
        <w:pStyle w:val="CompactBullet"/>
      </w:pPr>
      <w:r>
        <w:t xml:space="preserve">• </w:t>
      </w:r>
      <w:r>
        <w:t>Immutable inputs: recording metadata, the six family tables, the frozen registry, and the analysis configuration are hashed into the run manifest.</w:t>
      </w:r>
    </w:p>
    <w:p>
      <w:pPr>
        <w:pStyle w:val="CompactBullet"/>
      </w:pPr>
      <w:r>
        <w:t xml:space="preserve">• </w:t>
      </w:r>
      <w:r>
        <w:t>Missing values: unavailable measurements remain NA and are never converted to zero.</w:t>
      </w:r>
    </w:p>
    <w:p>
      <w:pPr>
        <w:pStyle w:val="CompactBullet"/>
      </w:pPr>
      <w:r>
        <w:t xml:space="preserve">• </w:t>
      </w:r>
      <w:r>
        <w:t>Zero semantics: every measured zero retains its family-specific registered meaning.</w:t>
      </w:r>
    </w:p>
    <w:p>
      <w:pPr>
        <w:pStyle w:val="CompactBullet"/>
      </w:pPr>
      <w:r>
        <w:t xml:space="preserve">• </w:t>
      </w:r>
      <w:r>
        <w:t>No composite: no family-level or global quality score is calculated.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Blocking assertion</w:t>
            </w:r>
          </w:p>
        </w:tc>
        <w:tc>
          <w:tcPr>
            <w:tcW w:type="dxa" w:w="4464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Expected value / rule</w:t>
            </w:r>
          </w:p>
        </w:tc>
        <w:tc>
          <w:tcPr>
            <w:tcW w:type="dxa" w:w="2592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Action on failure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Recording count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519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before analysis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Participant count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224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before analysis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 recording_id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519 unique IDs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before analysis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Recording-to-participant mapping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Exactly one participant per recording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before analysis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Cohort consistency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Cohort constant within participant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before analysis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Cohort values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ALS and CONTROL only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before analysis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Metadata linkage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All analysis recordings matched to the governed metadata ledger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before analysis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Recording date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Missing dates reported; time-dependent models omit affected rows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Transparent nonblocking audit unless support gate fails</w:t>
            </w:r>
          </w:p>
        </w:tc>
      </w:tr>
      <w:tr>
        <w:tc>
          <w:tcPr>
            <w:tcW w:type="dxa" w:w="302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Frozen versions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Only governed feature versions admitted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before analysis</w:t>
            </w:r>
          </w:p>
        </w:tc>
      </w:tr>
    </w:tbl>
    <w:p>
      <w:pPr>
        <w:spacing w:after="0"/>
      </w:pPr>
    </w:p>
    <w:p>
      <w:pPr>
        <w:pStyle w:val="Heading1"/>
      </w:pPr>
      <w:r>
        <w:t>3. Family-specific feature routing</w:t>
      </w:r>
    </w:p>
    <w:p>
      <w:r>
        <w:t>Families are treated as portfolios of observables. Features remain separate because their units, zero states, support conditions, and physical meanings differ. A family is never reduced to one representative value or averaged into a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92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Family</w:t>
            </w:r>
          </w:p>
        </w:tc>
        <w:tc>
          <w:tcPr>
            <w:tcW w:type="dxa" w:w="2232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Observable</w:t>
            </w:r>
          </w:p>
        </w:tc>
        <w:tc>
          <w:tcPr>
            <w:tcW w:type="dxa" w:w="1800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Validated role</w:t>
            </w:r>
          </w:p>
        </w:tc>
        <w:tc>
          <w:tcPr>
            <w:tcW w:type="dxa" w:w="1584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Outcome class</w:t>
            </w:r>
          </w:p>
        </w:tc>
        <w:tc>
          <w:tcPr>
            <w:tcW w:type="dxa" w:w="3816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3"/>
              </w:rPr>
              <w:t>Downstream use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QADD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Pause-region level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Primary/contextual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Main descriptives, persistence, longitudinal, cohort, bulbar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QADD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Pause-level IQR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Secondary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Same; secondary FDR tier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QADD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Speech-pause contrast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Secondary/mixed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Same; interpret jointly with speech level and pause level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QADD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Pause spectral flatness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Secondary/nonordinal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 bounded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Same; no adverse-direction claim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QADD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Hum-comb prominence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Targeted/conditional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 conditional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Availability + conditional-value analyses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QGAIN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Typical speech level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Primary/contextual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Main analyses; contextual, not calibrated SPL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QGAIN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Within-segment IQR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Primary/mixed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Main analyses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QGAIN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Between-segment MAD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Secondary/mixed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Secondary analyses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QGAIN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Absolute level drift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Exploratory/contextual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Exploratory analyses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QREV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Early residual-tail excess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Primary/conditional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 conditional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Availability + conditional-value analyses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QREV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Tail persistence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Secondary/non-independent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Censored 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Censor-aware sensitivity; not independent of tail excess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QREV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Downward decay rate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Exploratory/conditional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 conditional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Exploratory; support-gated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QREV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Normalized-fast SRMR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Comparator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Main comparator analyses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QCHAN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LTAS distance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Primary/nonordinal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Continuous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Main analyses; deviation magnitude, not adverse direction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QCHAN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Rolloff-95 deficit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Primary/one-sided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Zero-mass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Two-part: presence + positive extent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QCHAN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High-band ratio deficit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Secondary/non-independent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Zero-mass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Two-part; secondary tier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QCHAN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Tilt steepening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Exploratory/phenotype-sensitive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Zero-mass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Two-part; exploratory tier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QDIST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Hard-clipped sample fraction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Primary sparse burden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Sparse event extent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Exact counts and positive burden; inferential model only if gate passes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QDIST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Hard-clip event rate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Secondary sparse event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Sparse event rate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Exact counts/rate; exposure retained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QDIST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Hard-clipped frame fraction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Audit-only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Audit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Excluded from inferential figures/models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QTEMP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Dropout duration fraction / event rate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Exploratory only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Sparse event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Descriptive because support is insufficient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QTEMP</w:t>
            </w:r>
          </w:p>
        </w:tc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Frozen-audio duration fraction / event rate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Monitoring only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All-zero / sparse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Descriptive; no primary inference</w:t>
            </w:r>
          </w:p>
        </w:tc>
      </w:tr>
    </w:tbl>
    <w:p>
      <w:pPr>
        <w:spacing w:after="0"/>
      </w:pPr>
    </w:p>
    <w:p>
      <w:pPr>
        <w:pStyle w:val="Heading1"/>
      </w:pPr>
      <w:r>
        <w:t>4. Conditioning, scaling, zero states, and censoring</w:t>
      </w:r>
    </w:p>
    <w:p>
      <w:pPr>
        <w:pStyle w:val="CompactBullet"/>
      </w:pPr>
      <w:r>
        <w:t xml:space="preserve">• </w:t>
      </w:r>
      <w:r>
        <w:t>The registry prespecifies no transformation, log1p, or asinh according to support and sign structure.</w:t>
      </w:r>
    </w:p>
    <w:p>
      <w:pPr>
        <w:pStyle w:val="CompactBullet"/>
      </w:pPr>
      <w:r>
        <w:t xml:space="preserve">• </w:t>
      </w:r>
      <w:r>
        <w:t>Primary standardized value: transformed value minus the frozen recording-level median, divided by the frozen recording-level IQR.</w:t>
      </w:r>
    </w:p>
    <w:p>
      <w:pPr>
        <w:pStyle w:val="CompactBullet"/>
      </w:pPr>
      <w:r>
        <w:t xml:space="preserve">• </w:t>
      </w:r>
      <w:r>
        <w:t>Raw and standardized values are retained together. Scaling parameters are exported.</w:t>
      </w:r>
    </w:p>
    <w:p>
      <w:pPr>
        <w:pStyle w:val="CompactBullet"/>
      </w:pPr>
      <w:r>
        <w:t xml:space="preserve">• </w:t>
      </w:r>
      <w:r>
        <w:t>Primary analyses do not winsorize. First/99th percentile winsorization is a sensitivity analysis only.</w:t>
      </w:r>
    </w:p>
    <w:p>
      <w:pPr>
        <w:pStyle w:val="CompactBullet"/>
      </w:pPr>
      <w:r>
        <w:t xml:space="preserve">• </w:t>
      </w:r>
      <w:r>
        <w:t>Features with IQR=0 are retained descriptively but excluded from regression, correlation, and variance-decomposition models.</w:t>
      </w:r>
    </w:p>
    <w:p>
      <w:pPr>
        <w:pStyle w:val="CompactBullet"/>
      </w:pPr>
      <w:r>
        <w:t xml:space="preserve">• </w:t>
      </w:r>
      <w:r>
        <w:t>Event presence is derived before transformation using the registry rule, never by assuming that all positive values have the same meaning.</w:t>
      </w:r>
    </w:p>
    <w:p>
      <w:pPr>
        <w:pStyle w:val="CompactBullet"/>
      </w:pPr>
      <w:r>
        <w:t xml:space="preserve">• </w:t>
      </w:r>
      <w:r>
        <w:t>QCHAN zeros indicate no deficit in the prespecified direction, not absence of any channel effect.</w:t>
      </w:r>
    </w:p>
    <w:p>
      <w:pPr>
        <w:pStyle w:val="CompactBullet"/>
      </w:pPr>
      <w:r>
        <w:t xml:space="preserve">• </w:t>
      </w:r>
      <w:r>
        <w:t>QREV tail persistence retains its right-censor flag and is re-analyzed after excluding censored observations.</w:t>
      </w:r>
    </w:p>
    <w:p>
      <w:pPr>
        <w:pStyle w:val="Heading1"/>
      </w:pPr>
      <w:r>
        <w:t>5. Descriptive characterization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7776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Required summaries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Recording level</w:t>
            </w:r>
          </w:p>
        </w:tc>
        <w:tc>
          <w:tcPr>
            <w:tcW w:type="dxa" w:w="77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Available N; participant N; median; IQR; 1st, 5th, 95th, and 99th percentiles; minimum; maximum; zero-state prevalence; event-positive prevalence; positive-event extent; support/exposure; censor count.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Participant level (sensitivity)</w:t>
            </w:r>
          </w:p>
        </w:tc>
        <w:tc>
          <w:tcPr>
            <w:tcW w:type="dxa" w:w="77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Within-participant median, distribution of participant medians, and recordings per participant. These summaries do not replace recording-level analysis.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Sparse events</w:t>
            </w:r>
          </w:p>
        </w:tc>
        <w:tc>
          <w:tcPr>
            <w:tcW w:type="dxa" w:w="77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Exact positive recordings, positive participants, cohort composition, positive burden, and event rate; no density estimate when support is insufficient.</w:t>
            </w:r>
          </w:p>
        </w:tc>
      </w:tr>
    </w:tbl>
    <w:p>
      <w:pPr>
        <w:spacing w:after="0"/>
      </w:pPr>
    </w:p>
    <w:p>
      <w:pPr>
        <w:pStyle w:val="Heading1"/>
      </w:pPr>
      <w:r>
        <w:t>6. Participant-level persistence</w:t>
      </w:r>
    </w:p>
    <w:p>
      <w:r>
        <w:t>For eligible continuous indicators, the intercept-only model is:</w:t>
      </w:r>
    </w:p>
    <w:p>
      <w:pPr>
        <w:jc w:val="center"/>
      </w:pPr>
      <w:r>
        <w:rPr>
          <w:rFonts w:ascii="Cambria Math" w:hAnsi="Cambria Math"/>
          <w:sz w:val="20"/>
        </w:rPr>
        <w:t>Yᵢⱼ = β₀ + uᵢ + εᵢⱼ      ICC = σ²participant / (σ²participant + σ²residual)</w:t>
      </w:r>
    </w:p>
    <w:p>
      <w:pPr>
        <w:pStyle w:val="CompactBullet"/>
      </w:pPr>
      <w:r>
        <w:t xml:space="preserve">• </w:t>
      </w:r>
      <w:r>
        <w:t>The ICC is interpreted as persistence of participant-level ordering across repeated recordings, not pure technical repeatability.</w:t>
      </w:r>
    </w:p>
    <w:p>
      <w:pPr>
        <w:pStyle w:val="CompactBullet"/>
      </w:pPr>
      <w:r>
        <w:t xml:space="preserve">• </w:t>
      </w:r>
      <w:r>
        <w:t>Confidence intervals use 2,000 participant-cluster bootstrap replicates in the final run.</w:t>
      </w:r>
    </w:p>
    <w:p>
      <w:pPr>
        <w:pStyle w:val="CompactBullet"/>
      </w:pPr>
      <w:r>
        <w:t xml:space="preserve">• </w:t>
      </w:r>
      <w:r>
        <w:t>The bootstrap resamples participants with replacement and retains all selected recordings within each sampled participant.</w:t>
      </w:r>
    </w:p>
    <w:p>
      <w:pPr>
        <w:pStyle w:val="CompactBullet"/>
      </w:pPr>
      <w:r>
        <w:t xml:space="preserve">• </w:t>
      </w:r>
      <w:r>
        <w:t>The optimizer cascade and random-effect stability checks are prespecified and exported.</w:t>
      </w:r>
    </w:p>
    <w:p>
      <w:pPr>
        <w:pStyle w:val="CompactBullet"/>
      </w:pPr>
      <w:r>
        <w:t xml:space="preserve">• </w:t>
      </w:r>
      <w:r>
        <w:t>First-versus-second recording Spearman correlation is a complementary descriptive persistence measure.</w:t>
      </w:r>
    </w:p>
    <w:p>
      <w:pPr>
        <w:pStyle w:val="CompactBullet"/>
      </w:pPr>
      <w:r>
        <w:t xml:space="preserve">• </w:t>
      </w:r>
      <w:r>
        <w:t>Sparse binary outcomes use overall, positive, and negative agreement and Cohen kappa rather than a conventional continuous ICC.</w:t>
      </w:r>
    </w:p>
    <w:p>
      <w:pPr>
        <w:pStyle w:val="Heading1"/>
      </w:pPr>
      <w:r>
        <w:t>7. ALS-only longitudinal change</w:t>
      </w:r>
    </w:p>
    <w:p>
      <w:r>
        <w:t>Time is defined as years since each participant’s first eligible recording. The primary model is:</w:t>
      </w:r>
    </w:p>
    <w:p>
      <w:pPr>
        <w:jc w:val="center"/>
      </w:pPr>
      <w:r>
        <w:rPr>
          <w:rFonts w:ascii="Cambria Math" w:hAnsi="Cambria Math"/>
          <w:sz w:val="20"/>
        </w:rPr>
        <w:t>Yᵢⱼ = β₀ + βtime tᵢⱼ + uᵢ + εᵢⱼ</w:t>
      </w:r>
    </w:p>
    <w:p>
      <w:pPr>
        <w:pStyle w:val="CompactBullet"/>
      </w:pPr>
      <w:r>
        <w:t xml:space="preserve">• </w:t>
      </w:r>
      <w:r>
        <w:t>A random time slope is attempted only when repeated-observation support and model stability gates pass.</w:t>
      </w:r>
    </w:p>
    <w:p>
      <w:pPr>
        <w:pStyle w:val="CompactBullet"/>
      </w:pPr>
      <w:r>
        <w:t xml:space="preserve">• </w:t>
      </w:r>
      <w:r>
        <w:t>A failed or singular random-slope model falls back to a random-intercept mixed model, then to participant-clustered GEE if required.</w:t>
      </w:r>
    </w:p>
    <w:p>
      <w:pPr>
        <w:pStyle w:val="CompactBullet"/>
      </w:pPr>
      <w:r>
        <w:t xml:space="preserve">• </w:t>
      </w:r>
      <w:r>
        <w:t>The reported slope is annual change in the measured indicator, not “technical drift.”</w:t>
      </w:r>
    </w:p>
    <w:p>
      <w:pPr>
        <w:pStyle w:val="CompactBullet"/>
      </w:pPr>
      <w:r>
        <w:t xml:space="preserve">• </w:t>
      </w:r>
      <w:r>
        <w:t>One-sided binary features are modeled as annual change in the odds of a positive directional state.</w:t>
      </w:r>
    </w:p>
    <w:p>
      <w:pPr>
        <w:pStyle w:val="CompactBullet"/>
      </w:pPr>
      <w:r>
        <w:t xml:space="preserve">• </w:t>
      </w:r>
      <w:r>
        <w:t>QREV persistence receives a sensitivity analysis excluding censored values.</w:t>
      </w:r>
    </w:p>
    <w:p>
      <w:pPr>
        <w:pStyle w:val="Heading1"/>
      </w:pPr>
      <w:r>
        <w:t>8. ALS-control cohort differences</w:t>
      </w:r>
    </w:p>
    <w:p>
      <w:pPr>
        <w:jc w:val="center"/>
      </w:pPr>
      <w:r>
        <w:rPr>
          <w:rFonts w:ascii="Cambria Math" w:hAnsi="Cambria Math"/>
          <w:sz w:val="20"/>
        </w:rPr>
        <w:t>Yᵢⱼ = β₀ + βALS ALSᵢ + uᵢ + εᵢⱼ</w:t>
      </w:r>
    </w:p>
    <w:p>
      <w:pPr>
        <w:pStyle w:val="CompactBullet"/>
      </w:pPr>
      <w:r>
        <w:t xml:space="preserve">• </w:t>
      </w:r>
      <w:r>
        <w:t>Continuous outcomes use participant-random-intercept mixed models. Singular or boundary fits use participant-clustered Gaussian GEE as the prespecified fallback.</w:t>
      </w:r>
    </w:p>
    <w:p>
      <w:pPr>
        <w:pStyle w:val="CompactBullet"/>
      </w:pPr>
      <w:r>
        <w:t xml:space="preserve">• </w:t>
      </w:r>
      <w:r>
        <w:t>One-sided QCHAN outputs use two linked estimands: odds of a positive deficit and standardized extent among positive recordings.</w:t>
      </w:r>
    </w:p>
    <w:p>
      <w:pPr>
        <w:pStyle w:val="CompactBullet"/>
      </w:pPr>
      <w:r>
        <w:t xml:space="preserve">• </w:t>
      </w:r>
      <w:r>
        <w:t>Sparse QDIST and QTEMP events are descriptive unless at least 20 positive recordings, 10 positive participants, and positives in both cohorts are available.</w:t>
      </w:r>
    </w:p>
    <w:p>
      <w:pPr>
        <w:pStyle w:val="CompactBullet"/>
      </w:pPr>
      <w:r>
        <w:t xml:space="preserve">• </w:t>
      </w:r>
      <w:r>
        <w:t>The cohort-size imbalance affects precision but does not require downsampling. All eligible recordings are retained, and dependence is handled through participant clustering.</w:t>
      </w:r>
    </w:p>
    <w:p>
      <w:pPr>
        <w:pStyle w:val="CompactBullet"/>
      </w:pPr>
      <w:r>
        <w:t xml:space="preserve">• </w:t>
      </w:r>
      <w:r>
        <w:t>The primary coefficient is accompanied by recording and participant counts and model diagnostics.</w:t>
      </w:r>
    </w:p>
    <w:p>
      <w:pPr>
        <w:pStyle w:val="Heading1"/>
      </w:pPr>
      <w:r>
        <w:t>9. Measurement availability</w:t>
      </w:r>
    </w:p>
    <w:p>
      <w:pPr>
        <w:pStyle w:val="CompactBullet"/>
      </w:pPr>
      <w:r>
        <w:t xml:space="preserve">• </w:t>
      </w:r>
      <w:r>
        <w:t>Availability is analyzed as a separate binary outcome only for measurements with nontrivial unavailable states.</w:t>
      </w:r>
    </w:p>
    <w:p>
      <w:pPr>
        <w:pStyle w:val="CompactBullet"/>
      </w:pPr>
      <w:r>
        <w:t xml:space="preserve">• </w:t>
      </w:r>
      <w:r>
        <w:t>Python implementation: participant-clustered binomial GEE with exchangeable working correlation and robust or bias-reduced covariance.</w:t>
      </w:r>
    </w:p>
    <w:p>
      <w:pPr>
        <w:pStyle w:val="CompactBullet"/>
      </w:pPr>
      <w:r>
        <w:t xml:space="preserve">• </w:t>
      </w:r>
      <w:r>
        <w:t>Availability associations are not called “informative missingness” and do not establish a missing-data mechanism.</w:t>
      </w:r>
    </w:p>
    <w:p>
      <w:pPr>
        <w:pStyle w:val="CompactBullet"/>
      </w:pPr>
      <w:r>
        <w:t xml:space="preserve">• </w:t>
      </w:r>
      <w:r>
        <w:t>Availability is supplementary unless it materially conditions interpretation, as for QREV boundary-based estimates.</w:t>
      </w:r>
    </w:p>
    <w:p>
      <w:pPr>
        <w:pStyle w:val="Heading1"/>
      </w:pPr>
      <w:r>
        <w:t>10. Recording-matched bulbar associations</w:t>
      </w:r>
    </w:p>
    <w:p>
      <w:r>
        <w:t>The recording-specific ALSFRS-R bulbar score is decomposed into between- and within-participant components:</w:t>
      </w:r>
    </w:p>
    <w:p>
      <w:pPr>
        <w:jc w:val="center"/>
      </w:pPr>
      <w:r>
        <w:rPr>
          <w:rFonts w:ascii="Cambria Math" w:hAnsi="Cambria Math"/>
          <w:sz w:val="20"/>
        </w:rPr>
        <w:t>Bᵢbetween = B̄ᵢ − B̄       Bᵢⱼwithin = Bᵢⱼ − B̄ᵢ</w:t>
      </w:r>
    </w:p>
    <w:p>
      <w:pPr>
        <w:jc w:val="center"/>
      </w:pPr>
      <w:r>
        <w:rPr>
          <w:rFonts w:ascii="Cambria Math" w:hAnsi="Cambria Math"/>
          <w:sz w:val="20"/>
        </w:rPr>
        <w:t>Yᵢⱼ = β₀ + βB Bᵢbetween + βW Bᵢⱼwithin + uᵢ + εᵢⱼ</w:t>
      </w:r>
    </w:p>
    <w:p>
      <w:pPr>
        <w:pStyle w:val="CompactBullet"/>
      </w:pPr>
      <w:r>
        <w:t xml:space="preserve">• </w:t>
      </w:r>
      <w:r>
        <w:t>Between-participant effect: association between a participant’s average bulbar function and average indicator value.</w:t>
      </w:r>
    </w:p>
    <w:p>
      <w:pPr>
        <w:pStyle w:val="CompactBullet"/>
      </w:pPr>
      <w:r>
        <w:t xml:space="preserve">• </w:t>
      </w:r>
      <w:r>
        <w:t>Within-participant effect: association between deviation from the participant’s own average bulbar score and the contemporaneous indicator value.</w:t>
      </w:r>
    </w:p>
    <w:p>
      <w:pPr>
        <w:pStyle w:val="CompactBullet"/>
      </w:pPr>
      <w:r>
        <w:t xml:space="preserve">• </w:t>
      </w:r>
      <w:r>
        <w:t>The within effect requires at least 30 participants with repeated, non-identical matched scores and at least 50 valid matched recordings for the feature.</w:t>
      </w:r>
    </w:p>
    <w:p>
      <w:pPr>
        <w:pStyle w:val="CompactBullet"/>
      </w:pPr>
      <w:r>
        <w:t xml:space="preserve">• </w:t>
      </w:r>
      <w:r>
        <w:t>A time-adjusted sensitivity adds years since first recording to assess whether the bulbar association persists beyond general longitudinal change.</w:t>
      </w:r>
    </w:p>
    <w:p>
      <w:pPr>
        <w:pStyle w:val="CompactBullet"/>
      </w:pPr>
      <w:r>
        <w:t xml:space="preserve">• </w:t>
      </w:r>
      <w:r>
        <w:t>For display, effects may be multiplied by −1 and labelled per one-point lower bulbar score (worse function); fitted estimates and source tables retain the original score direction.</w:t>
      </w:r>
    </w:p>
    <w:p>
      <w:pPr>
        <w:pStyle w:val="CompactBullet"/>
      </w:pPr>
      <w:r>
        <w:t xml:space="preserve">• </w:t>
      </w:r>
      <w:r>
        <w:t>One-sided binary features use corresponding presence models; positive extent is analyzed only when support permits.</w:t>
      </w:r>
    </w:p>
    <w:p>
      <w:pPr>
        <w:pStyle w:val="Heading1"/>
      </w:pPr>
      <w:r>
        <w:t>11. Multiplicity and inferential tiers</w:t>
      </w:r>
    </w:p>
    <w:p>
      <w:pPr>
        <w:pStyle w:val="CompactBullet"/>
      </w:pPr>
      <w:r>
        <w:t xml:space="preserve">• </w:t>
      </w:r>
      <w:r>
        <w:t>Benjamini-Hochberg FDR correction is applied within prespecified estimand families, not across unrelated model classes.</w:t>
      </w:r>
    </w:p>
    <w:p>
      <w:pPr>
        <w:pStyle w:val="CompactBullet"/>
      </w:pPr>
      <w:r>
        <w:t xml:space="preserve">• </w:t>
      </w:r>
      <w:r>
        <w:t>Core outputs and secondary/exploratory outputs are corrected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Frequentist family</w:t>
            </w:r>
          </w:p>
        </w:tc>
        <w:tc>
          <w:tcPr>
            <w:tcW w:type="dxa" w:w="6264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Examples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Cohort continuous - core</w:t>
            </w:r>
          </w:p>
        </w:tc>
        <w:tc>
          <w:tcPr>
            <w:tcW w:type="dxa" w:w="62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QADD pause level; QGAIN typical level and within-segment IQR; QREV tail excess and SRMR; QCHAN LTAS distance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Cohort continuous - secondary/exploratory</w:t>
            </w:r>
          </w:p>
        </w:tc>
        <w:tc>
          <w:tcPr>
            <w:tcW w:type="dxa" w:w="62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Other retained continuous outputs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Cohort presence - core / secondary</w:t>
            </w:r>
          </w:p>
        </w:tc>
        <w:tc>
          <w:tcPr>
            <w:tcW w:type="dxa" w:w="62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One-sided QCHAN positive states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Longitudinal continuous / presence</w:t>
            </w:r>
          </w:p>
        </w:tc>
        <w:tc>
          <w:tcPr>
            <w:tcW w:type="dxa" w:w="62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Annual ALS-only slope or state odds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Bulbar between continuous / presence</w:t>
            </w:r>
          </w:p>
        </w:tc>
        <w:tc>
          <w:tcPr>
            <w:tcW w:type="dxa" w:w="62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Average severity association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Bulbar within continuous / presence</w:t>
            </w:r>
          </w:p>
        </w:tc>
        <w:tc>
          <w:tcPr>
            <w:tcW w:type="dxa" w:w="62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Within-person change association</w:t>
            </w:r>
          </w:p>
        </w:tc>
      </w:tr>
      <w:tr>
        <w:tc>
          <w:tcPr>
            <w:tcW w:type="dxa" w:w="37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Availability</w:t>
            </w:r>
          </w:p>
        </w:tc>
        <w:tc>
          <w:tcPr>
            <w:tcW w:type="dxa" w:w="62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Cohort and bulbar availability associations</w:t>
            </w:r>
          </w:p>
        </w:tc>
      </w:tr>
    </w:tbl>
    <w:p>
      <w:pPr>
        <w:spacing w:after="0"/>
      </w:pPr>
    </w:p>
    <w:p>
      <w:pPr>
        <w:pStyle w:val="CompactBullet"/>
      </w:pPr>
      <w:r>
        <w:t xml:space="preserve">• </w:t>
      </w:r>
      <w:r>
        <w:t>FDR is not applied to descriptive summaries, ICC variance components, agreement statistics, model diagnostics, or figure geometry.</w:t>
      </w:r>
    </w:p>
    <w:p>
      <w:pPr>
        <w:pStyle w:val="Heading1"/>
      </w:pPr>
      <w:r>
        <w:t>12. Prespecified sensitivity analyses</w:t>
      </w:r>
    </w:p>
    <w:p>
      <w:pPr>
        <w:pStyle w:val="CompactBullet"/>
      </w:pPr>
      <w:r>
        <w:t xml:space="preserve">• </w:t>
      </w:r>
      <w:r>
        <w:t>Age- and sex-adjusted cohort model using complete demographic cases.</w:t>
      </w:r>
    </w:p>
    <w:p>
      <w:pPr>
        <w:pStyle w:val="CompactBullet"/>
      </w:pPr>
      <w:r>
        <w:t xml:space="preserve">• </w:t>
      </w:r>
      <w:r>
        <w:t>Native sample-rate sensitivity where both 44.1 and 48 kHz are represented.</w:t>
      </w:r>
    </w:p>
    <w:p>
      <w:pPr>
        <w:pStyle w:val="CompactBullet"/>
      </w:pPr>
      <w:r>
        <w:t xml:space="preserve">• </w:t>
      </w:r>
      <w:r>
        <w:t>Frozen transformation versus untransformed analysis.</w:t>
      </w:r>
    </w:p>
    <w:p>
      <w:pPr>
        <w:pStyle w:val="CompactBullet"/>
      </w:pPr>
      <w:r>
        <w:t xml:space="preserve">• </w:t>
      </w:r>
      <w:r>
        <w:t>Primary values versus 1st/99th percentile winsorization.</w:t>
      </w:r>
    </w:p>
    <w:p>
      <w:pPr>
        <w:pStyle w:val="CompactBullet"/>
      </w:pPr>
      <w:r>
        <w:t xml:space="preserve">• </w:t>
      </w:r>
      <w:r>
        <w:t>Participant-collapsed cohort comparison using one summary per participant.</w:t>
      </w:r>
    </w:p>
    <w:p>
      <w:pPr>
        <w:pStyle w:val="CompactBullet"/>
      </w:pPr>
      <w:r>
        <w:t xml:space="preserve">• </w:t>
      </w:r>
      <w:r>
        <w:t>One-recording-per-participant resampling: 1,000 draws in the final run, preserving the recording-level estimand without allowing repeat-heavy participants to dominate.</w:t>
      </w:r>
    </w:p>
    <w:p>
      <w:pPr>
        <w:pStyle w:val="CompactBullet"/>
      </w:pPr>
      <w:r>
        <w:t xml:space="preserve">• </w:t>
      </w:r>
      <w:r>
        <w:t>Signed QCHAN precursor versus truncated one-sided deficit where available.</w:t>
      </w:r>
    </w:p>
    <w:p>
      <w:pPr>
        <w:pStyle w:val="CompactBullet"/>
      </w:pPr>
      <w:r>
        <w:t xml:space="preserve">• </w:t>
      </w:r>
      <w:r>
        <w:t>Presence versus positive extent for one-sided and event outcomes.</w:t>
      </w:r>
    </w:p>
    <w:p>
      <w:pPr>
        <w:pStyle w:val="CompactBullet"/>
      </w:pPr>
      <w:r>
        <w:t xml:space="preserve">• </w:t>
      </w:r>
      <w:r>
        <w:t>QREV censor sensitivity excluding censored persistence values.</w:t>
      </w:r>
    </w:p>
    <w:p>
      <w:pPr>
        <w:pStyle w:val="CompactBullet"/>
      </w:pPr>
      <w:r>
        <w:t xml:space="preserve">• </w:t>
      </w:r>
      <w:r>
        <w:t>Bulbar model with and without elapsed time.</w:t>
      </w:r>
    </w:p>
    <w:p>
      <w:pPr>
        <w:pStyle w:val="Heading1"/>
      </w:pPr>
      <w:r>
        <w:t>13. Diagnostics, support gates, and fallbacks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Analysis</w:t>
            </w:r>
          </w:p>
        </w:tc>
        <w:tc>
          <w:tcPr>
            <w:tcW w:type="dxa" w:w="2376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Primary route</w:t>
            </w:r>
          </w:p>
        </w:tc>
        <w:tc>
          <w:tcPr>
            <w:tcW w:type="dxa" w:w="3240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Diagnostic / gate</w:t>
            </w:r>
          </w:p>
        </w:tc>
        <w:tc>
          <w:tcPr>
            <w:tcW w:type="dxa" w:w="2664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Prespecified fallback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Continuous mixed model</w:t>
            </w:r>
          </w:p>
        </w:tc>
        <w:tc>
          <w:tcPr>
            <w:tcW w:type="dxa" w:w="23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Random-intercept mixed model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Convergence; covariance eigenvalues; condition number; boundary variance; finite CI</w:t>
            </w:r>
          </w:p>
        </w:tc>
        <w:tc>
          <w:tcPr>
            <w:tcW w:type="dxa" w:w="26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Optimizer cascade, then participant-clustered Gaussian GEE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Random-slope longitudinal model</w:t>
            </w:r>
          </w:p>
        </w:tc>
        <w:tc>
          <w:tcPr>
            <w:tcW w:type="dxa" w:w="23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Participant-specific time slope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Repeated support; convergence; non-singular covariance</w:t>
            </w:r>
          </w:p>
        </w:tc>
        <w:tc>
          <w:tcPr>
            <w:tcW w:type="dxa" w:w="26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Random-intercept mixed model, then GEE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Binary presence/availability</w:t>
            </w:r>
          </w:p>
        </w:tc>
        <w:tc>
          <w:tcPr>
            <w:tcW w:type="dxa" w:w="23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Binomial GEE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states represented; ≥10 participants in smaller state; cohort support where applicable</w:t>
            </w:r>
          </w:p>
        </w:tc>
        <w:tc>
          <w:tcPr>
            <w:tcW w:type="dxa" w:w="26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Exact counts and cluster-bootstrap risk difference or descriptive only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Sparse events</w:t>
            </w:r>
          </w:p>
        </w:tc>
        <w:tc>
          <w:tcPr>
            <w:tcW w:type="dxa" w:w="23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 routine regression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≥20 positive recordings; ≥10 positive participants; positives in both cohorts</w:t>
            </w:r>
          </w:p>
        </w:tc>
        <w:tc>
          <w:tcPr>
            <w:tcW w:type="dxa" w:w="26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Exact descriptive summary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ICC bootstrap</w:t>
            </w:r>
          </w:p>
        </w:tc>
        <w:tc>
          <w:tcPr>
            <w:tcW w:type="dxa" w:w="23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2,000 participant clusters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Finite successful replicate proportion; checkpointing</w:t>
            </w:r>
          </w:p>
        </w:tc>
        <w:tc>
          <w:tcPr>
            <w:tcW w:type="dxa" w:w="26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Report point estimate and bootstrap failure transparently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Censored QREV persistence</w:t>
            </w:r>
          </w:p>
        </w:tc>
        <w:tc>
          <w:tcPr>
            <w:tcW w:type="dxa" w:w="237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Bounded observed value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Censor count and support</w:t>
            </w:r>
          </w:p>
        </w:tc>
        <w:tc>
          <w:tcPr>
            <w:tcW w:type="dxa" w:w="26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Exclude-censored sensitivity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A5C"/>
              </w:rPr>
              <w:t xml:space="preserve">No silent repair. </w:t>
            </w:r>
            <w:r>
              <w:t>Every failed gate, singular model, fallback, omitted analysis, excluded row, and incomplete bootstrap is recorded in an exported diagnostic table and the run manifest.</w:t>
            </w:r>
          </w:p>
        </w:tc>
      </w:tr>
    </w:tbl>
    <w:p>
      <w:pPr>
        <w:spacing w:after="0"/>
      </w:pPr>
    </w:p>
    <w:p>
      <w:pPr>
        <w:pStyle w:val="Heading1"/>
      </w:pPr>
      <w:r>
        <w:t>14. Publication figure plan</w:t>
      </w:r>
    </w:p>
    <w:p>
      <w:r>
        <w:t>The main figure uses summary geometry rather than full violins. Exact q-values, model names, sample sizes, and diagnostics remain in source tables and supplementary material. The figure script uses fixed grids, reserved label columns, and an automated text-overlap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Panel</w:t>
            </w:r>
          </w:p>
        </w:tc>
        <w:tc>
          <w:tcPr>
            <w:tcW w:type="dxa" w:w="2160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Geometry</w:t>
            </w:r>
          </w:p>
        </w:tc>
        <w:tc>
          <w:tcPr>
            <w:tcW w:type="dxa" w:w="2880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Scientific question</w:t>
            </w:r>
          </w:p>
        </w:tc>
        <w:tc>
          <w:tcPr>
            <w:tcW w:type="dxa" w:w="3384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Content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A. Extent and distribution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Horizontal interval profiles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What values, dispersion, and tail extent occur in each cohort?</w:t>
            </w:r>
          </w:p>
        </w:tc>
        <w:tc>
          <w:tcPr>
            <w:tcW w:type="dxa" w:w="33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Control and ALS median points; thick IQR; thin 5th-95th percentile; features grouped by QADD, QGAIN, QREV, and QCHAN. Adjacent subpanels show QCHAN positive-state prevalence and exact sparse QDIST/QTEMP event occurrence.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B. Persistence and time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Aligned forest columns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What is persistent, and what changes longitudinally?</w:t>
            </w:r>
          </w:p>
        </w:tc>
        <w:tc>
          <w:tcPr>
            <w:tcW w:type="dxa" w:w="33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ICC with 95% participant-bootstrap CI; annual ALS-only continuous slope; annual positive-state odds ratio. Shared family-grouped feature labels.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C. Cohort and bulbar structure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Aligned forest columns</w:t>
            </w:r>
          </w:p>
        </w:tc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How do cohort and clinical state relate to each observable?</w:t>
            </w:r>
          </w:p>
        </w:tc>
        <w:tc>
          <w:tcPr>
            <w:tcW w:type="dxa" w:w="33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ALS-control standardized difference; between-participant bulbar effect; within-participant bulbar effect. Binary odds-ratio subsection remains on its own scale.</w:t>
            </w:r>
          </w:p>
        </w:tc>
      </w:tr>
    </w:tbl>
    <w:p>
      <w:pPr>
        <w:spacing w:after="0"/>
      </w:pPr>
    </w:p>
    <w:p>
      <w:pPr>
        <w:pStyle w:val="CompactBullet"/>
      </w:pPr>
      <w:r>
        <w:t xml:space="preserve">• </w:t>
      </w:r>
      <w:r>
        <w:t>No text labels are placed over data marks.</w:t>
      </w:r>
    </w:p>
    <w:p>
      <w:pPr>
        <w:pStyle w:val="CompactBullet"/>
      </w:pPr>
      <w:r>
        <w:t xml:space="preserve">• </w:t>
      </w:r>
      <w:r>
        <w:t>Panel-level subtitles state the estimand and direction.</w:t>
      </w:r>
    </w:p>
    <w:p>
      <w:pPr>
        <w:pStyle w:val="CompactBullet"/>
      </w:pPr>
      <w:r>
        <w:t xml:space="preserve">• </w:t>
      </w:r>
      <w:r>
        <w:t>Family names and feature labels use a shared reserved label column.</w:t>
      </w:r>
    </w:p>
    <w:p>
      <w:pPr>
        <w:pStyle w:val="CompactBullet"/>
      </w:pPr>
      <w:r>
        <w:t xml:space="preserve">• </w:t>
      </w:r>
      <w:r>
        <w:t>Continuous standardized effects and odds ratios are never mixed on one numerical axis.</w:t>
      </w:r>
    </w:p>
    <w:p>
      <w:pPr>
        <w:pStyle w:val="CompactBullet"/>
      </w:pPr>
      <w:r>
        <w:t xml:space="preserve">• </w:t>
      </w:r>
      <w:r>
        <w:t>Figure source-data CSVs exactly reproduce every plotted point, interval, prevalence, and sparse-event count.</w:t>
      </w:r>
    </w:p>
    <w:p>
      <w:pPr>
        <w:pStyle w:val="CompactBullet"/>
      </w:pPr>
      <w:r>
        <w:t xml:space="preserve">• </w:t>
      </w:r>
      <w:r>
        <w:t>Main export: 600-dpi PNG, editable SVG, and vector PDF.</w:t>
      </w:r>
    </w:p>
    <w:p>
      <w:pPr>
        <w:pStyle w:val="CompactBullet"/>
      </w:pPr>
      <w:r>
        <w:t xml:space="preserve">• </w:t>
      </w:r>
      <w:r>
        <w:t>The automated overlap audit must return zero unexpected text intersections before completion passes.</w:t>
      </w:r>
    </w:p>
    <w:p>
      <w:pPr>
        <w:pStyle w:val="Heading1"/>
      </w:pPr>
      <w:r>
        <w:t>15. Supplementary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Supplement</w:t>
            </w:r>
          </w:p>
        </w:tc>
        <w:tc>
          <w:tcPr>
            <w:tcW w:type="dxa" w:w="7488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Content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Supplementary Figure 1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Feature availability and support by cohort, including missing reasons and conditional support.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Supplementary Figure 2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Raw-unit distribution profiles for every retained output, one family at a time.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Supplementary Figure 3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ALS longitudinal trajectories for selected core indicators, with participant lines and population trend.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Supplementary Figure 4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Cohort sensitivity estimates: demographic adjustment, sample rate, transformation, winsorization, participant-collapsed, and one-recording resampling.</w:t>
            </w:r>
          </w:p>
        </w:tc>
      </w:tr>
      <w:tr>
        <w:tc>
          <w:tcPr>
            <w:tcW w:type="dxa" w:w="252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Tables</w:t>
            </w:r>
          </w:p>
        </w:tc>
        <w:tc>
          <w:tcPr>
            <w:tcW w:type="dxa" w:w="74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Population audit; registry; scaling; descriptives; persistence; agreement; longitudinal models; cohort models; availability; bulbar; censor sensitivities; support gates; all sensitivity analyses.</w:t>
            </w:r>
          </w:p>
        </w:tc>
      </w:tr>
    </w:tbl>
    <w:p>
      <w:pPr>
        <w:spacing w:after="0"/>
      </w:pPr>
    </w:p>
    <w:p>
      <w:pPr>
        <w:pStyle w:val="Heading1"/>
      </w:pPr>
      <w:r>
        <w:t>16. Notebook architecture and reproducibility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1. </w:t>
      </w:r>
      <w:r>
        <w:t>Load libraries and set FINAL_RUN, seeds, bootstrap and resampling counts.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2. </w:t>
      </w:r>
      <w:r>
        <w:t>Discover, hash, and inventory immutable inputs.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3. </w:t>
      </w:r>
      <w:r>
        <w:t>Build the feature registry and model-routing table.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4. </w:t>
      </w:r>
      <w:r>
        <w:t>Harmonize family tables and construct the common recording-level matrix.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5. </w:t>
      </w:r>
      <w:r>
        <w:t>Run the blocking population, cohort, date, and bulbar-linkage audit.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6. </w:t>
      </w:r>
      <w:r>
        <w:t>Construct availability, transforms, scaling, censoring, zero states, and event states.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7. </w:t>
      </w:r>
      <w:r>
        <w:t>Export recording- and participant-level descriptive tables.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8. </w:t>
      </w:r>
      <w:r>
        <w:t>Fit availability models.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9. </w:t>
      </w:r>
      <w:r>
        <w:t>Estimate persistence and binary agreement.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10. </w:t>
      </w:r>
      <w:r>
        <w:t>Estimate ALS-only longitudinal change.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11. </w:t>
      </w:r>
      <w:r>
        <w:t>Estimate ALS-control cohort differences by outcome class.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12. </w:t>
      </w:r>
      <w:r>
        <w:t>Run demographic, sample-rate, transformation, and winsorization sensitivities.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13. </w:t>
      </w:r>
      <w:r>
        <w:t>Estimate recording-matched bulbar between/within effects and time-adjusted sensitivities.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14. </w:t>
      </w:r>
      <w:r>
        <w:t>Run participant-collapsed and one-recording-per-participant sensitivities.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15. </w:t>
      </w:r>
      <w:r>
        <w:t>Build exact source-data tables for the main and supplementary figures.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16. </w:t>
      </w:r>
      <w:r>
        <w:t>Generate figures and run automated overlap checks.</w:t>
      </w:r>
    </w:p>
    <w:p>
      <w:pPr>
        <w:spacing w:after="30"/>
        <w:ind w:left="216" w:hanging="216"/>
      </w:pPr>
      <w:r>
        <w:rPr>
          <w:b/>
          <w:color w:val="1F3A5C"/>
        </w:rPr>
        <w:t xml:space="preserve">17. </w:t>
      </w:r>
      <w:r>
        <w:t>Write the run manifest and completion checklist.</w:t>
      </w:r>
    </w:p>
    <w:p>
      <w:pPr>
        <w:pStyle w:val="Heading1"/>
      </w:pPr>
      <w:r>
        <w:t>17. Development and final execution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Setting</w:t>
            </w:r>
          </w:p>
        </w:tc>
        <w:tc>
          <w:tcPr>
            <w:tcW w:type="dxa" w:w="3960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Development review</w:t>
            </w:r>
          </w:p>
        </w:tc>
        <w:tc>
          <w:tcPr>
            <w:tcW w:type="dxa" w:w="3816"/>
            <w:shd w:fill="203A5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Final manuscript run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FINAL_RUN</w:t>
            </w:r>
          </w:p>
        </w:tc>
        <w:tc>
          <w:tcPr>
            <w:tcW w:type="dxa" w:w="3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False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True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ICC bootstrap</w:t>
            </w:r>
          </w:p>
        </w:tc>
        <w:tc>
          <w:tcPr>
            <w:tcW w:type="dxa" w:w="3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Disabled; point estimates and model routing checked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2,000 participant-cluster replicates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One-recording resampling</w:t>
            </w:r>
          </w:p>
        </w:tc>
        <w:tc>
          <w:tcPr>
            <w:tcW w:type="dxa" w:w="3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100 replicates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1,000 replicates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Purpose</w:t>
            </w:r>
          </w:p>
        </w:tc>
        <w:tc>
          <w:tcPr>
            <w:tcW w:type="dxa" w:w="3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Fast inspection of merge, models, tables, and layout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7F9FB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Frozen inferential estimates and final confidence intervals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Required action</w:t>
            </w:r>
          </w:p>
        </w:tc>
        <w:tc>
          <w:tcPr>
            <w:tcW w:type="dxa" w:w="39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 all cells; inspect completion checklist and figures</w:t>
            </w:r>
          </w:p>
        </w:tc>
        <w:tc>
          <w:tcPr>
            <w:tcW w:type="dxa" w:w="38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Restart kernel after changing FINAL_RUN=True; run all cells from top</w:t>
            </w:r>
          </w:p>
        </w:tc>
      </w:tr>
    </w:tbl>
    <w:p>
      <w:pPr>
        <w:spacing w:after="0"/>
      </w:pPr>
    </w:p>
    <w:p>
      <w:pPr>
        <w:pStyle w:val="Heading1"/>
      </w:pPr>
      <w:r>
        <w:t>18. Completion and acceptance criteria</w:t>
      </w:r>
    </w:p>
    <w:p>
      <w:pPr>
        <w:pStyle w:val="CompactBullet"/>
      </w:pPr>
      <w:r>
        <w:t xml:space="preserve">• </w:t>
      </w:r>
      <w:r>
        <w:t>All blocking population assertions pass.</w:t>
      </w:r>
    </w:p>
    <w:p>
      <w:pPr>
        <w:pStyle w:val="CompactBullet"/>
      </w:pPr>
      <w:r>
        <w:t xml:space="preserve">• </w:t>
      </w:r>
      <w:r>
        <w:t>The feature registry and all transform/scaling parameters are exported.</w:t>
      </w:r>
    </w:p>
    <w:p>
      <w:pPr>
        <w:pStyle w:val="CompactBullet"/>
      </w:pPr>
      <w:r>
        <w:t xml:space="preserve">• </w:t>
      </w:r>
      <w:r>
        <w:t>Every analysis table contains recording and participant support counts.</w:t>
      </w:r>
    </w:p>
    <w:p>
      <w:pPr>
        <w:pStyle w:val="CompactBullet"/>
      </w:pPr>
      <w:r>
        <w:t xml:space="preserve">• </w:t>
      </w:r>
      <w:r>
        <w:t>Every model has a recorded route, convergence state, diagnostics, and fallback note.</w:t>
      </w:r>
    </w:p>
    <w:p>
      <w:pPr>
        <w:pStyle w:val="CompactBullet"/>
      </w:pPr>
      <w:r>
        <w:t xml:space="preserve">• </w:t>
      </w:r>
      <w:r>
        <w:t>ICC confidence intervals are present after the final bootstrap run or failure is explicitly reported.</w:t>
      </w:r>
    </w:p>
    <w:p>
      <w:pPr>
        <w:pStyle w:val="CompactBullet"/>
      </w:pPr>
      <w:r>
        <w:t xml:space="preserve">• </w:t>
      </w:r>
      <w:r>
        <w:t>Longitudinal, cohort, availability, and bulbar outputs are separated by outcome class.</w:t>
      </w:r>
    </w:p>
    <w:p>
      <w:pPr>
        <w:pStyle w:val="CompactBullet"/>
      </w:pPr>
      <w:r>
        <w:t xml:space="preserve">• </w:t>
      </w:r>
      <w:r>
        <w:t>All FDR families are explicit in the exported tables.</w:t>
      </w:r>
    </w:p>
    <w:p>
      <w:pPr>
        <w:pStyle w:val="CompactBullet"/>
      </w:pPr>
      <w:r>
        <w:t xml:space="preserve">• </w:t>
      </w:r>
      <w:r>
        <w:t>Source-data CSVs reproduce every main and supplementary figure mark.</w:t>
      </w:r>
    </w:p>
    <w:p>
      <w:pPr>
        <w:pStyle w:val="CompactBullet"/>
      </w:pPr>
      <w:r>
        <w:t xml:space="preserve">• </w:t>
      </w:r>
      <w:r>
        <w:t>Main figure is exported as PNG, SVG, and PDF.</w:t>
      </w:r>
    </w:p>
    <w:p>
      <w:pPr>
        <w:pStyle w:val="CompactBullet"/>
      </w:pPr>
      <w:r>
        <w:t xml:space="preserve">• </w:t>
      </w:r>
      <w:r>
        <w:t>Automated text-overlap audit is empty.</w:t>
      </w:r>
    </w:p>
    <w:p>
      <w:pPr>
        <w:pStyle w:val="CompactBullet"/>
      </w:pPr>
      <w:r>
        <w:t xml:space="preserve">• </w:t>
      </w:r>
      <w:r>
        <w:t>Run manifest records hashes, software versions, seeds, configuration, output inventory, and final-run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A5C"/>
              </w:rPr>
              <w:t xml:space="preserve">Final governance rule. </w:t>
            </w:r>
            <w:r>
              <w:t>The final manuscript interpretation must follow the observable-specific directions and claim boundaries in the registry. A statistically nonzero association is not automatically evidence of worse recording quality, technical causation, or disease-specific acquisition failure.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4"/>
      </w:rPr>
      <w:t>Frozen cohort-characterization specification | Production notebook: 01_extent_distribution_persistence_FINAL.ipynb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3A5C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3A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5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1F3A5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30"/>
      <w:ind w:left="259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Frozen Statistical Analysis and Implementation Plan</dc:title>
  <dc:subject>Extent, distribution, persistence, cohort differences, and bulbar associations</dc:subject>
  <dc:creator>Nevena Musikic</dc:creator>
  <cp:keywords>recording quality, ALS, mixed models, longitudinal, ICC, bulbar, reproducibility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