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Goal 2 - Multidimensional Structure of Recording-Quality Variation</w:t>
      </w:r>
    </w:p>
    <w:p>
      <w:pPr>
        <w:jc w:val="center"/>
      </w:pPr>
      <w:r>
        <w:rPr>
          <w:i/>
          <w:color w:val="595959"/>
          <w:sz w:val="20"/>
        </w:rPr>
        <w:t>Frozen statistical analysis and production implementation plan</w:t>
      </w:r>
    </w:p>
    <w:p>
      <w:pPr>
        <w:jc w:val="center"/>
      </w:pPr>
      <w:r>
        <w:rPr>
          <w:b/>
          <w:color w:val="C0504D"/>
          <w:sz w:val="18"/>
        </w:rPr>
        <w:t>Status: frozen before inferential review</w:t>
      </w:r>
    </w:p>
    <w:p>
      <w:pPr>
        <w:pStyle w:val="Heading1"/>
        <w:keepNext/>
      </w:pPr>
      <w:r>
        <w:t>1. Scientific purpose and estimands</w:t>
      </w:r>
    </w:p>
    <w:p>
      <w:r>
        <w:t>This analysis determines whether the analytically retained recording-quality indicators capture distinct, overlapping, or potentially redundant dimensions. It explicitly separates persistent participant profiles from recording-to-recording co-variation within the same participant. The analysis is structural and descriptive: it does not establish analytical validity, causality, or a latent biological taxonomy.</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9"/>
            <w:vAlign w:val="center"/>
            <w:tcMar>
              <w:top w:w="80" w:type="dxa"/>
              <w:start w:w="80" w:type="dxa"/>
              <w:bottom w:w="80" w:type="dxa"/>
              <w:end w:w="80" w:type="dxa"/>
            </w:tcMar>
          </w:tcPr>
          <w:p>
            <w:r>
              <w:rPr>
                <w:b/>
                <w:color w:val="FFFFFF"/>
                <w:sz w:val="16"/>
              </w:rPr>
              <w:t>Estimand</w:t>
            </w:r>
          </w:p>
        </w:tc>
        <w:tc>
          <w:tcPr>
            <w:tcW w:type="dxa" w:w="3888"/>
            <w:shd w:fill="1F4E79"/>
            <w:vAlign w:val="center"/>
            <w:tcMar>
              <w:top w:w="80" w:type="dxa"/>
              <w:start w:w="80" w:type="dxa"/>
              <w:bottom w:w="80" w:type="dxa"/>
              <w:end w:w="80" w:type="dxa"/>
            </w:tcMar>
          </w:tcPr>
          <w:p>
            <w:r>
              <w:rPr>
                <w:b/>
                <w:color w:val="FFFFFF"/>
                <w:sz w:val="16"/>
              </w:rPr>
              <w:t>Definition</w:t>
            </w:r>
          </w:p>
        </w:tc>
        <w:tc>
          <w:tcPr>
            <w:tcW w:type="dxa" w:w="4320"/>
            <w:shd w:fill="1F4E79"/>
            <w:vAlign w:val="center"/>
            <w:tcMar>
              <w:top w:w="80" w:type="dxa"/>
              <w:start w:w="80" w:type="dxa"/>
              <w:bottom w:w="80" w:type="dxa"/>
              <w:end w:w="80" w:type="dxa"/>
            </w:tcMar>
          </w:tcPr>
          <w:p>
            <w:r>
              <w:rPr>
                <w:b/>
                <w:color w:val="FFFFFF"/>
                <w:sz w:val="16"/>
              </w:rPr>
              <w:t>Scientific interpretation</w:t>
            </w:r>
          </w:p>
        </w:tc>
      </w:tr>
      <w:tr>
        <w:tc>
          <w:tcPr>
            <w:tcW w:type="dxa" w:w="2088"/>
            <w:vAlign w:val="center"/>
            <w:tcMar>
              <w:top w:w="80" w:type="dxa"/>
              <w:start w:w="80" w:type="dxa"/>
              <w:bottom w:w="80" w:type="dxa"/>
              <w:end w:w="80" w:type="dxa"/>
            </w:tcMar>
          </w:tcPr>
          <w:p>
            <w:r>
              <w:rPr>
                <w:sz w:val="15"/>
              </w:rPr>
              <w:t>Between-participant structure</w:t>
            </w:r>
          </w:p>
        </w:tc>
        <w:tc>
          <w:tcPr>
            <w:tcW w:type="dxa" w:w="3888"/>
            <w:vAlign w:val="center"/>
            <w:tcMar>
              <w:top w:w="80" w:type="dxa"/>
              <w:start w:w="80" w:type="dxa"/>
              <w:bottom w:w="80" w:type="dxa"/>
              <w:end w:w="80" w:type="dxa"/>
            </w:tcMar>
          </w:tcPr>
          <w:p>
            <w:r>
              <w:rPr>
                <w:sz w:val="15"/>
              </w:rPr>
              <w:t>Spearman correlation of participant mean transformed profiles.</w:t>
            </w:r>
          </w:p>
        </w:tc>
        <w:tc>
          <w:tcPr>
            <w:tcW w:type="dxa" w:w="4320"/>
            <w:vAlign w:val="center"/>
            <w:tcMar>
              <w:top w:w="80" w:type="dxa"/>
              <w:start w:w="80" w:type="dxa"/>
              <w:bottom w:w="80" w:type="dxa"/>
              <w:end w:w="80" w:type="dxa"/>
            </w:tcMar>
          </w:tcPr>
          <w:p>
            <w:r>
              <w:rPr>
                <w:sz w:val="15"/>
              </w:rPr>
              <w:t>Whether participants who tend to be high on one observable also tend to be high on another.</w:t>
            </w:r>
          </w:p>
        </w:tc>
      </w:tr>
      <w:tr>
        <w:tc>
          <w:tcPr>
            <w:tcW w:type="dxa" w:w="2088"/>
            <w:vAlign w:val="center"/>
            <w:tcMar>
              <w:top w:w="80" w:type="dxa"/>
              <w:start w:w="80" w:type="dxa"/>
              <w:bottom w:w="80" w:type="dxa"/>
              <w:end w:w="80" w:type="dxa"/>
            </w:tcMar>
            <w:shd w:fill="EAF2F8"/>
          </w:tcPr>
          <w:p>
            <w:r>
              <w:rPr>
                <w:sz w:val="15"/>
              </w:rPr>
              <w:t>Within-participant structure</w:t>
            </w:r>
          </w:p>
        </w:tc>
        <w:tc>
          <w:tcPr>
            <w:tcW w:type="dxa" w:w="3888"/>
            <w:vAlign w:val="center"/>
            <w:tcMar>
              <w:top w:w="80" w:type="dxa"/>
              <w:start w:w="80" w:type="dxa"/>
              <w:bottom w:w="80" w:type="dxa"/>
              <w:end w:w="80" w:type="dxa"/>
            </w:tcMar>
            <w:shd w:fill="EAF2F8"/>
          </w:tcPr>
          <w:p>
            <w:r>
              <w:rPr>
                <w:sz w:val="15"/>
              </w:rPr>
              <w:t>Rank-based correlation of participant-centered recordings with equal participant weight.</w:t>
            </w:r>
          </w:p>
        </w:tc>
        <w:tc>
          <w:tcPr>
            <w:tcW w:type="dxa" w:w="4320"/>
            <w:vAlign w:val="center"/>
            <w:tcMar>
              <w:top w:w="80" w:type="dxa"/>
              <w:start w:w="80" w:type="dxa"/>
              <w:bottom w:w="80" w:type="dxa"/>
              <w:end w:w="80" w:type="dxa"/>
            </w:tcMar>
            <w:shd w:fill="EAF2F8"/>
          </w:tcPr>
          <w:p>
            <w:r>
              <w:rPr>
                <w:sz w:val="15"/>
              </w:rPr>
              <w:t>Whether two observables move together when a participant differs from their own typical profile.</w:t>
            </w:r>
          </w:p>
        </w:tc>
      </w:tr>
      <w:tr>
        <w:tc>
          <w:tcPr>
            <w:tcW w:type="dxa" w:w="2088"/>
            <w:vAlign w:val="center"/>
            <w:tcMar>
              <w:top w:w="80" w:type="dxa"/>
              <w:start w:w="80" w:type="dxa"/>
              <w:bottom w:w="80" w:type="dxa"/>
              <w:end w:w="80" w:type="dxa"/>
            </w:tcMar>
          </w:tcPr>
          <w:p>
            <w:r>
              <w:rPr>
                <w:sz w:val="15"/>
              </w:rPr>
              <w:t>Family organization</w:t>
            </w:r>
          </w:p>
        </w:tc>
        <w:tc>
          <w:tcPr>
            <w:tcW w:type="dxa" w:w="3888"/>
            <w:vAlign w:val="center"/>
            <w:tcMar>
              <w:top w:w="80" w:type="dxa"/>
              <w:start w:w="80" w:type="dxa"/>
              <w:bottom w:w="80" w:type="dxa"/>
              <w:end w:w="80" w:type="dxa"/>
            </w:tcMar>
          </w:tcPr>
          <w:p>
            <w:r>
              <w:rPr>
                <w:sz w:val="15"/>
              </w:rPr>
              <w:t>Mean absolute within-family correlation minus mean absolute between-family correlation.</w:t>
            </w:r>
          </w:p>
        </w:tc>
        <w:tc>
          <w:tcPr>
            <w:tcW w:type="dxa" w:w="4320"/>
            <w:vAlign w:val="center"/>
            <w:tcMar>
              <w:top w:w="80" w:type="dxa"/>
              <w:start w:w="80" w:type="dxa"/>
              <w:bottom w:w="80" w:type="dxa"/>
              <w:end w:w="80" w:type="dxa"/>
            </w:tcMar>
          </w:tcPr>
          <w:p>
            <w:r>
              <w:rPr>
                <w:sz w:val="15"/>
              </w:rPr>
              <w:t>Whether the prespecified families contain more internal association than expected across families.</w:t>
            </w:r>
          </w:p>
        </w:tc>
      </w:tr>
      <w:tr>
        <w:tc>
          <w:tcPr>
            <w:tcW w:type="dxa" w:w="2088"/>
            <w:vAlign w:val="center"/>
            <w:tcMar>
              <w:top w:w="80" w:type="dxa"/>
              <w:start w:w="80" w:type="dxa"/>
              <w:bottom w:w="80" w:type="dxa"/>
              <w:end w:w="80" w:type="dxa"/>
            </w:tcMar>
            <w:shd w:fill="EAF2F8"/>
          </w:tcPr>
          <w:p>
            <w:r>
              <w:rPr>
                <w:sz w:val="15"/>
              </w:rPr>
              <w:t>Multilevel PCA</w:t>
            </w:r>
          </w:p>
        </w:tc>
        <w:tc>
          <w:tcPr>
            <w:tcW w:type="dxa" w:w="3888"/>
            <w:vAlign w:val="center"/>
            <w:tcMar>
              <w:top w:w="80" w:type="dxa"/>
              <w:start w:w="80" w:type="dxa"/>
              <w:bottom w:w="80" w:type="dxa"/>
              <w:end w:w="80" w:type="dxa"/>
            </w:tcMar>
            <w:shd w:fill="EAF2F8"/>
          </w:tcPr>
          <w:p>
            <w:r>
              <w:rPr>
                <w:sz w:val="15"/>
              </w:rPr>
              <w:t>Separate eigendecomposition of between- and within-participant correlation structures.</w:t>
            </w:r>
          </w:p>
        </w:tc>
        <w:tc>
          <w:tcPr>
            <w:tcW w:type="dxa" w:w="4320"/>
            <w:vAlign w:val="center"/>
            <w:tcMar>
              <w:top w:w="80" w:type="dxa"/>
              <w:start w:w="80" w:type="dxa"/>
              <w:bottom w:w="80" w:type="dxa"/>
              <w:end w:w="80" w:type="dxa"/>
            </w:tcMar>
            <w:shd w:fill="EAF2F8"/>
          </w:tcPr>
          <w:p>
            <w:r>
              <w:rPr>
                <w:sz w:val="15"/>
              </w:rPr>
              <w:t>A descriptive summary of dominant profile-level and session-level axes; never a quality score.</w:t>
            </w:r>
          </w:p>
        </w:tc>
      </w:tr>
    </w:tbl>
    <w:p/>
    <w:p>
      <w:pPr>
        <w:pStyle w:val="Heading1"/>
        <w:keepNext/>
      </w:pPr>
      <w:r>
        <w:t>2. Governance and immutable inputs</w:t>
      </w:r>
    </w:p>
    <w:p>
      <w:pPr>
        <w:pStyle w:val="ListBullet"/>
        <w:spacing w:after="40"/>
      </w:pPr>
      <w:r>
        <w:rPr>
          <w:sz w:val="18"/>
        </w:rPr>
        <w:t>The analysis population must reproduce 519 recordings from 224 participants, with one participant and one cohort per recording.</w:t>
      </w:r>
    </w:p>
    <w:p>
      <w:pPr>
        <w:pStyle w:val="ListBullet"/>
        <w:spacing w:after="40"/>
      </w:pPr>
      <w:r>
        <w:rPr>
          <w:sz w:val="18"/>
        </w:rPr>
        <w:t>Inputs are the frozen recording metadata ledger and the finalized QADD, QGAIN, QREV, QCHAN, QDIST, and QTEMP family tables. File hashes and software versions are written to the run manifest.</w:t>
      </w:r>
    </w:p>
    <w:p>
      <w:pPr>
        <w:pStyle w:val="ListBullet"/>
        <w:spacing w:after="40"/>
      </w:pPr>
      <w:r>
        <w:rPr>
          <w:sz w:val="18"/>
        </w:rPr>
        <w:t>Unavailable values remain missing. No imputation is permitted in pairwise analysis or PCA.</w:t>
      </w:r>
    </w:p>
    <w:p>
      <w:pPr>
        <w:pStyle w:val="ListBullet"/>
        <w:spacing w:after="40"/>
      </w:pPr>
      <w:r>
        <w:rPr>
          <w:sz w:val="18"/>
        </w:rPr>
        <w:t>Frozen feature transformations and zero semantics are inherited from the validated feature registry. Signs are not reversed for structural analysis.</w:t>
      </w:r>
    </w:p>
    <w:p>
      <w:pPr>
        <w:pStyle w:val="ListBullet"/>
        <w:spacing w:after="40"/>
      </w:pPr>
      <w:r>
        <w:rPr>
          <w:sz w:val="18"/>
        </w:rPr>
        <w:t>No family-level or global quality score is constructed. PCA scores are not used as downstream outcomes or predictors.</w:t>
      </w:r>
    </w:p>
    <w:p>
      <w:pPr>
        <w:pStyle w:val="ListBullet"/>
        <w:spacing w:after="40"/>
      </w:pPr>
      <w:r>
        <w:rPr>
          <w:sz w:val="18"/>
        </w:rPr>
        <w:t>Any change to feature membership, support gates, bootstrap counts, relationship classification, or component-retention rules requires a versioned amendment before the affected result is reviewed.</w:t>
      </w:r>
    </w:p>
    <w:p>
      <w:pPr>
        <w:pStyle w:val="Heading1"/>
        <w:keepNext/>
      </w:pPr>
      <w:r>
        <w:t>3. Feature sets</w:t>
      </w:r>
    </w:p>
    <w:p>
      <w:pPr>
        <w:pStyle w:val="Heading2"/>
        <w:keepNext/>
      </w:pPr>
      <w:r>
        <w:t>3.1 Full pairwise structure set</w:t>
      </w:r>
    </w:p>
    <w:p>
      <w:r>
        <w:t>The full pairwise analysis includes every retained nonconstant QADD, QGAIN, QREV, and QCHAN output that passes pair-specific support gates. This yields 17 observables: five QADD, four QGAIN, four QREV, and four QCHAN outputs. Conditional and exploratory outputs remain visibly labelled. QDIST and QTEMP are audited but excluded when sparse or invariant.</w:t>
      </w:r>
    </w:p>
    <w:tbl>
      <w:tblPr>
        <w:tblStyle w:val="TableGrid"/>
        <w:tblW w:type="auto" w:w="0"/>
        <w:jc w:val="center"/>
        <w:tblLook w:firstColumn="1" w:firstRow="1" w:lastColumn="0" w:lastRow="0" w:noHBand="0" w:noVBand="1" w:val="04A0"/>
      </w:tblPr>
      <w:tblGrid>
        <w:gridCol w:w="3389"/>
        <w:gridCol w:w="3389"/>
        <w:gridCol w:w="3389"/>
      </w:tblGrid>
      <w:tr>
        <w:tc>
          <w:tcPr>
            <w:tcW w:type="dxa" w:w="1080"/>
            <w:shd w:fill="1F4E79"/>
            <w:vAlign w:val="center"/>
            <w:tcMar>
              <w:top w:w="80" w:type="dxa"/>
              <w:start w:w="80" w:type="dxa"/>
              <w:bottom w:w="80" w:type="dxa"/>
              <w:end w:w="80" w:type="dxa"/>
            </w:tcMar>
          </w:tcPr>
          <w:p>
            <w:r>
              <w:rPr>
                <w:b/>
                <w:color w:val="FFFFFF"/>
                <w:sz w:val="16"/>
              </w:rPr>
              <w:t>Family</w:t>
            </w:r>
          </w:p>
        </w:tc>
        <w:tc>
          <w:tcPr>
            <w:tcW w:type="dxa" w:w="5400"/>
            <w:shd w:fill="1F4E79"/>
            <w:vAlign w:val="center"/>
            <w:tcMar>
              <w:top w:w="80" w:type="dxa"/>
              <w:start w:w="80" w:type="dxa"/>
              <w:bottom w:w="80" w:type="dxa"/>
              <w:end w:w="80" w:type="dxa"/>
            </w:tcMar>
          </w:tcPr>
          <w:p>
            <w:r>
              <w:rPr>
                <w:b/>
                <w:color w:val="FFFFFF"/>
                <w:sz w:val="16"/>
              </w:rPr>
              <w:t>Codes and outputs</w:t>
            </w:r>
          </w:p>
        </w:tc>
        <w:tc>
          <w:tcPr>
            <w:tcW w:type="dxa" w:w="3960"/>
            <w:shd w:fill="1F4E79"/>
            <w:vAlign w:val="center"/>
            <w:tcMar>
              <w:top w:w="80" w:type="dxa"/>
              <w:start w:w="80" w:type="dxa"/>
              <w:bottom w:w="80" w:type="dxa"/>
              <w:end w:w="80" w:type="dxa"/>
            </w:tcMar>
          </w:tcPr>
          <w:p>
            <w:r>
              <w:rPr>
                <w:b/>
                <w:color w:val="FFFFFF"/>
                <w:sz w:val="16"/>
              </w:rPr>
              <w:t>Role in structural analysis</w:t>
            </w:r>
          </w:p>
        </w:tc>
      </w:tr>
      <w:tr>
        <w:tc>
          <w:tcPr>
            <w:tcW w:type="dxa" w:w="1080"/>
            <w:vAlign w:val="center"/>
            <w:tcMar>
              <w:top w:w="80" w:type="dxa"/>
              <w:start w:w="80" w:type="dxa"/>
              <w:bottom w:w="80" w:type="dxa"/>
              <w:end w:w="80" w:type="dxa"/>
            </w:tcMar>
          </w:tcPr>
          <w:p>
            <w:r>
              <w:rPr>
                <w:sz w:val="15"/>
              </w:rPr>
              <w:t>QADD</w:t>
            </w:r>
          </w:p>
        </w:tc>
        <w:tc>
          <w:tcPr>
            <w:tcW w:type="dxa" w:w="5400"/>
            <w:vAlign w:val="center"/>
            <w:tcMar>
              <w:top w:w="80" w:type="dxa"/>
              <w:start w:w="80" w:type="dxa"/>
              <w:bottom w:w="80" w:type="dxa"/>
              <w:end w:w="80" w:type="dxa"/>
            </w:tcMar>
          </w:tcPr>
          <w:p>
            <w:r>
              <w:rPr>
                <w:sz w:val="15"/>
              </w:rPr>
              <w:t>A1 pause-region level; A2 pause-level IQR; A3 speech-pause contrast; A4 flatness; A5 hum prominence</w:t>
            </w:r>
          </w:p>
        </w:tc>
        <w:tc>
          <w:tcPr>
            <w:tcW w:type="dxa" w:w="3960"/>
            <w:vAlign w:val="center"/>
            <w:tcMar>
              <w:top w:w="80" w:type="dxa"/>
              <w:start w:w="80" w:type="dxa"/>
              <w:bottom w:w="80" w:type="dxa"/>
              <w:end w:w="80" w:type="dxa"/>
            </w:tcMar>
          </w:tcPr>
          <w:p>
            <w:r>
              <w:t>All five retained; A1 and A3 are a governed same-ledger relationship.</w:t>
            </w:r>
          </w:p>
        </w:tc>
      </w:tr>
      <w:tr>
        <w:tc>
          <w:tcPr>
            <w:tcW w:type="dxa" w:w="1080"/>
            <w:vAlign w:val="center"/>
            <w:tcMar>
              <w:top w:w="80" w:type="dxa"/>
              <w:start w:w="80" w:type="dxa"/>
              <w:bottom w:w="80" w:type="dxa"/>
              <w:end w:w="80" w:type="dxa"/>
            </w:tcMar>
            <w:shd w:fill="EAF2F8"/>
          </w:tcPr>
          <w:p>
            <w:r>
              <w:rPr>
                <w:sz w:val="15"/>
              </w:rPr>
              <w:t>QGAIN</w:t>
            </w:r>
          </w:p>
        </w:tc>
        <w:tc>
          <w:tcPr>
            <w:tcW w:type="dxa" w:w="5400"/>
            <w:vAlign w:val="center"/>
            <w:tcMar>
              <w:top w:w="80" w:type="dxa"/>
              <w:start w:w="80" w:type="dxa"/>
              <w:bottom w:w="80" w:type="dxa"/>
              <w:end w:w="80" w:type="dxa"/>
            </w:tcMar>
            <w:shd w:fill="EAF2F8"/>
          </w:tcPr>
          <w:p>
            <w:r>
              <w:rPr>
                <w:sz w:val="15"/>
              </w:rPr>
              <w:t>G1 typical level; G2 within-segment IQR; G3 between-segment MAD; G4 drift</w:t>
            </w:r>
          </w:p>
        </w:tc>
        <w:tc>
          <w:tcPr>
            <w:tcW w:type="dxa" w:w="3960"/>
            <w:vAlign w:val="center"/>
            <w:tcMar>
              <w:top w:w="80" w:type="dxa"/>
              <w:start w:w="80" w:type="dxa"/>
              <w:bottom w:w="80" w:type="dxa"/>
              <w:end w:w="80" w:type="dxa"/>
            </w:tcMar>
            <w:shd w:fill="EAF2F8"/>
          </w:tcPr>
          <w:p>
            <w:r>
              <w:rPr>
                <w:sz w:val="15"/>
              </w:rPr>
              <w:t>All four retained; multiple timescales are preserved.</w:t>
            </w:r>
          </w:p>
        </w:tc>
      </w:tr>
      <w:tr>
        <w:tc>
          <w:tcPr>
            <w:tcW w:type="dxa" w:w="1080"/>
            <w:vAlign w:val="center"/>
            <w:tcMar>
              <w:top w:w="80" w:type="dxa"/>
              <w:start w:w="80" w:type="dxa"/>
              <w:bottom w:w="80" w:type="dxa"/>
              <w:end w:w="80" w:type="dxa"/>
            </w:tcMar>
          </w:tcPr>
          <w:p>
            <w:r>
              <w:rPr>
                <w:sz w:val="15"/>
              </w:rPr>
              <w:t>QREV</w:t>
            </w:r>
          </w:p>
        </w:tc>
        <w:tc>
          <w:tcPr>
            <w:tcW w:type="dxa" w:w="5400"/>
            <w:vAlign w:val="center"/>
            <w:tcMar>
              <w:top w:w="80" w:type="dxa"/>
              <w:start w:w="80" w:type="dxa"/>
              <w:bottom w:w="80" w:type="dxa"/>
              <w:end w:w="80" w:type="dxa"/>
            </w:tcMar>
          </w:tcPr>
          <w:p>
            <w:r>
              <w:rPr>
                <w:sz w:val="15"/>
              </w:rPr>
              <w:t>R1 tail excess; R2 persistence; R3 decay rate; R4 SRMR</w:t>
            </w:r>
          </w:p>
        </w:tc>
        <w:tc>
          <w:tcPr>
            <w:tcW w:type="dxa" w:w="3960"/>
            <w:vAlign w:val="center"/>
            <w:tcMar>
              <w:top w:w="80" w:type="dxa"/>
              <w:start w:w="80" w:type="dxa"/>
              <w:bottom w:w="80" w:type="dxa"/>
              <w:end w:w="80" w:type="dxa"/>
            </w:tcMar>
          </w:tcPr>
          <w:p>
            <w:r>
              <w:rPr>
                <w:sz w:val="15"/>
              </w:rPr>
              <w:t>All four retained where pair support passes; R1-R3 share boundary evidence.</w:t>
            </w:r>
          </w:p>
        </w:tc>
      </w:tr>
      <w:tr>
        <w:tc>
          <w:tcPr>
            <w:tcW w:type="dxa" w:w="1080"/>
            <w:vAlign w:val="center"/>
            <w:tcMar>
              <w:top w:w="80" w:type="dxa"/>
              <w:start w:w="80" w:type="dxa"/>
              <w:bottom w:w="80" w:type="dxa"/>
              <w:end w:w="80" w:type="dxa"/>
            </w:tcMar>
            <w:shd w:fill="EAF2F8"/>
          </w:tcPr>
          <w:p>
            <w:r>
              <w:rPr>
                <w:sz w:val="15"/>
              </w:rPr>
              <w:t>QCHAN</w:t>
            </w:r>
          </w:p>
        </w:tc>
        <w:tc>
          <w:tcPr>
            <w:tcW w:type="dxa" w:w="5400"/>
            <w:vAlign w:val="center"/>
            <w:tcMar>
              <w:top w:w="80" w:type="dxa"/>
              <w:start w:w="80" w:type="dxa"/>
              <w:bottom w:w="80" w:type="dxa"/>
              <w:end w:w="80" w:type="dxa"/>
            </w:tcMar>
            <w:shd w:fill="EAF2F8"/>
          </w:tcPr>
          <w:p>
            <w:r>
              <w:rPr>
                <w:sz w:val="15"/>
              </w:rPr>
              <w:t>C1 LTAS distance; C2 rolloff deficit; C3 high-band deficit; C4 tilt steepening</w:t>
            </w:r>
          </w:p>
        </w:tc>
        <w:tc>
          <w:tcPr>
            <w:tcW w:type="dxa" w:w="3960"/>
            <w:vAlign w:val="center"/>
            <w:tcMar>
              <w:top w:w="80" w:type="dxa"/>
              <w:start w:w="80" w:type="dxa"/>
              <w:bottom w:w="80" w:type="dxa"/>
              <w:end w:w="80" w:type="dxa"/>
            </w:tcMar>
            <w:shd w:fill="EAF2F8"/>
          </w:tcPr>
          <w:p>
            <w:r>
              <w:rPr>
                <w:sz w:val="15"/>
              </w:rPr>
              <w:t>All four retained; signed precursor analysis is a sensitivity.</w:t>
            </w:r>
          </w:p>
        </w:tc>
      </w:tr>
      <w:tr>
        <w:tc>
          <w:tcPr>
            <w:tcW w:type="dxa" w:w="1080"/>
            <w:vAlign w:val="center"/>
            <w:tcMar>
              <w:top w:w="80" w:type="dxa"/>
              <w:start w:w="80" w:type="dxa"/>
              <w:bottom w:w="80" w:type="dxa"/>
              <w:end w:w="80" w:type="dxa"/>
            </w:tcMar>
          </w:tcPr>
          <w:p>
            <w:r>
              <w:rPr>
                <w:sz w:val="15"/>
              </w:rPr>
              <w:t>QDIST</w:t>
            </w:r>
          </w:p>
        </w:tc>
        <w:tc>
          <w:tcPr>
            <w:tcW w:type="dxa" w:w="5400"/>
            <w:vAlign w:val="center"/>
            <w:tcMar>
              <w:top w:w="80" w:type="dxa"/>
              <w:start w:w="80" w:type="dxa"/>
              <w:bottom w:w="80" w:type="dxa"/>
              <w:end w:w="80" w:type="dxa"/>
            </w:tcMar>
          </w:tcPr>
          <w:p>
            <w:r>
              <w:rPr>
                <w:sz w:val="15"/>
              </w:rPr>
              <w:t>D1 sample burden; D2 event rate</w:t>
            </w:r>
          </w:p>
        </w:tc>
        <w:tc>
          <w:tcPr>
            <w:tcW w:type="dxa" w:w="3960"/>
            <w:vAlign w:val="center"/>
            <w:tcMar>
              <w:top w:w="80" w:type="dxa"/>
              <w:start w:w="80" w:type="dxa"/>
              <w:bottom w:w="80" w:type="dxa"/>
              <w:end w:w="80" w:type="dxa"/>
            </w:tcMar>
          </w:tcPr>
          <w:p>
            <w:r>
              <w:rPr>
                <w:sz w:val="15"/>
              </w:rPr>
              <w:t>Excluded from structural inference unless positive-event gates are met.</w:t>
            </w:r>
          </w:p>
        </w:tc>
      </w:tr>
      <w:tr>
        <w:tc>
          <w:tcPr>
            <w:tcW w:type="dxa" w:w="1080"/>
            <w:vAlign w:val="center"/>
            <w:tcMar>
              <w:top w:w="80" w:type="dxa"/>
              <w:start w:w="80" w:type="dxa"/>
              <w:bottom w:w="80" w:type="dxa"/>
              <w:end w:w="80" w:type="dxa"/>
            </w:tcMar>
            <w:shd w:fill="EAF2F8"/>
          </w:tcPr>
          <w:p>
            <w:r>
              <w:rPr>
                <w:sz w:val="15"/>
              </w:rPr>
              <w:t>QTEMP</w:t>
            </w:r>
          </w:p>
        </w:tc>
        <w:tc>
          <w:tcPr>
            <w:tcW w:type="dxa" w:w="5400"/>
            <w:vAlign w:val="center"/>
            <w:tcMar>
              <w:top w:w="80" w:type="dxa"/>
              <w:start w:w="80" w:type="dxa"/>
              <w:bottom w:w="80" w:type="dxa"/>
              <w:end w:w="80" w:type="dxa"/>
            </w:tcMar>
            <w:shd w:fill="EAF2F8"/>
          </w:tcPr>
          <w:p>
            <w:r>
              <w:rPr>
                <w:sz w:val="15"/>
              </w:rPr>
              <w:t>T1-T4 monitoring outputs</w:t>
            </w:r>
          </w:p>
        </w:tc>
        <w:tc>
          <w:tcPr>
            <w:tcW w:type="dxa" w:w="3960"/>
            <w:vAlign w:val="center"/>
            <w:tcMar>
              <w:top w:w="80" w:type="dxa"/>
              <w:start w:w="80" w:type="dxa"/>
              <w:bottom w:w="80" w:type="dxa"/>
              <w:end w:w="80" w:type="dxa"/>
            </w:tcMar>
            <w:shd w:fill="EAF2F8"/>
          </w:tcPr>
          <w:p>
            <w:r>
              <w:rPr>
                <w:sz w:val="15"/>
              </w:rPr>
              <w:t>Excluded because sparse or invariant and no primary indicator was retained.</w:t>
            </w:r>
          </w:p>
        </w:tc>
      </w:tr>
    </w:tbl>
    <w:p/>
    <w:p>
      <w:pPr>
        <w:pStyle w:val="Heading2"/>
        <w:keepNext/>
      </w:pPr>
      <w:r>
        <w:t>3.2 Primary multilevel PCA set</w:t>
      </w:r>
    </w:p>
    <w:p>
      <w:r>
        <w:t>The primary PCA set is frozen to eight complementary, sufficiently supported outputs. The set deliberately contains multiple features from complex families while excluding known ledger-dependent, sparse, and strongly conditional outputs.</w:t>
      </w:r>
    </w:p>
    <w:tbl>
      <w:tblPr>
        <w:tblStyle w:val="TableGrid"/>
        <w:tblW w:type="auto" w:w="0"/>
        <w:jc w:val="center"/>
        <w:tblLook w:firstColumn="1" w:firstRow="1" w:lastColumn="0" w:lastRow="0" w:noHBand="0" w:noVBand="1" w:val="04A0"/>
      </w:tblPr>
      <w:tblGrid>
        <w:gridCol w:w="3389"/>
        <w:gridCol w:w="3389"/>
        <w:gridCol w:w="3389"/>
      </w:tblGrid>
      <w:tr>
        <w:tc>
          <w:tcPr>
            <w:tcW w:type="dxa" w:w="864"/>
            <w:shd w:fill="1F4E79"/>
            <w:vAlign w:val="center"/>
            <w:tcMar>
              <w:top w:w="80" w:type="dxa"/>
              <w:start w:w="80" w:type="dxa"/>
              <w:bottom w:w="80" w:type="dxa"/>
              <w:end w:w="80" w:type="dxa"/>
            </w:tcMar>
          </w:tcPr>
          <w:p>
            <w:r>
              <w:rPr>
                <w:b/>
                <w:color w:val="FFFFFF"/>
                <w:sz w:val="16"/>
              </w:rPr>
              <w:t>Code</w:t>
            </w:r>
          </w:p>
        </w:tc>
        <w:tc>
          <w:tcPr>
            <w:tcW w:type="dxa" w:w="3816"/>
            <w:shd w:fill="1F4E79"/>
            <w:vAlign w:val="center"/>
            <w:tcMar>
              <w:top w:w="80" w:type="dxa"/>
              <w:start w:w="80" w:type="dxa"/>
              <w:bottom w:w="80" w:type="dxa"/>
              <w:end w:w="80" w:type="dxa"/>
            </w:tcMar>
          </w:tcPr>
          <w:p>
            <w:r>
              <w:rPr>
                <w:b/>
                <w:color w:val="FFFFFF"/>
                <w:sz w:val="16"/>
              </w:rPr>
              <w:t>Output</w:t>
            </w:r>
          </w:p>
        </w:tc>
        <w:tc>
          <w:tcPr>
            <w:tcW w:type="dxa" w:w="5760"/>
            <w:shd w:fill="1F4E79"/>
            <w:vAlign w:val="center"/>
            <w:tcMar>
              <w:top w:w="80" w:type="dxa"/>
              <w:start w:w="80" w:type="dxa"/>
              <w:bottom w:w="80" w:type="dxa"/>
              <w:end w:w="80" w:type="dxa"/>
            </w:tcMar>
          </w:tcPr>
          <w:p>
            <w:r>
              <w:rPr>
                <w:b/>
                <w:color w:val="FFFFFF"/>
                <w:sz w:val="16"/>
              </w:rPr>
              <w:t>Reason for inclusion</w:t>
            </w:r>
          </w:p>
        </w:tc>
      </w:tr>
      <w:tr>
        <w:tc>
          <w:tcPr>
            <w:tcW w:type="dxa" w:w="864"/>
            <w:vAlign w:val="center"/>
            <w:tcMar>
              <w:top w:w="80" w:type="dxa"/>
              <w:start w:w="80" w:type="dxa"/>
              <w:bottom w:w="80" w:type="dxa"/>
              <w:end w:w="80" w:type="dxa"/>
            </w:tcMar>
          </w:tcPr>
          <w:p>
            <w:r>
              <w:rPr>
                <w:sz w:val="15"/>
              </w:rPr>
              <w:t>A1</w:t>
            </w:r>
          </w:p>
        </w:tc>
        <w:tc>
          <w:tcPr>
            <w:tcW w:type="dxa" w:w="3816"/>
            <w:vAlign w:val="center"/>
            <w:tcMar>
              <w:top w:w="80" w:type="dxa"/>
              <w:start w:w="80" w:type="dxa"/>
              <w:bottom w:w="80" w:type="dxa"/>
              <w:end w:w="80" w:type="dxa"/>
            </w:tcMar>
          </w:tcPr>
          <w:p>
            <w:r>
              <w:rPr>
                <w:sz w:val="15"/>
              </w:rPr>
              <w:t>QADD pause-region level</w:t>
            </w:r>
          </w:p>
        </w:tc>
        <w:tc>
          <w:tcPr>
            <w:tcW w:type="dxa" w:w="5760"/>
            <w:vAlign w:val="center"/>
            <w:tcMar>
              <w:top w:w="80" w:type="dxa"/>
              <w:start w:w="80" w:type="dxa"/>
              <w:bottom w:w="80" w:type="dxa"/>
              <w:end w:w="80" w:type="dxa"/>
            </w:tcMar>
          </w:tcPr>
          <w:p>
            <w:r>
              <w:rPr>
                <w:sz w:val="15"/>
              </w:rPr>
              <w:t>Primary contextual level observable.</w:t>
            </w:r>
          </w:p>
        </w:tc>
      </w:tr>
      <w:tr>
        <w:tc>
          <w:tcPr>
            <w:tcW w:type="dxa" w:w="864"/>
            <w:vAlign w:val="center"/>
            <w:tcMar>
              <w:top w:w="80" w:type="dxa"/>
              <w:start w:w="80" w:type="dxa"/>
              <w:bottom w:w="80" w:type="dxa"/>
              <w:end w:w="80" w:type="dxa"/>
            </w:tcMar>
            <w:shd w:fill="EAF2F8"/>
          </w:tcPr>
          <w:p>
            <w:r>
              <w:rPr>
                <w:sz w:val="15"/>
              </w:rPr>
              <w:t>A2</w:t>
            </w:r>
          </w:p>
        </w:tc>
        <w:tc>
          <w:tcPr>
            <w:tcW w:type="dxa" w:w="3816"/>
            <w:vAlign w:val="center"/>
            <w:tcMar>
              <w:top w:w="80" w:type="dxa"/>
              <w:start w:w="80" w:type="dxa"/>
              <w:bottom w:w="80" w:type="dxa"/>
              <w:end w:w="80" w:type="dxa"/>
            </w:tcMar>
            <w:shd w:fill="EAF2F8"/>
          </w:tcPr>
          <w:p>
            <w:r>
              <w:rPr>
                <w:sz w:val="15"/>
              </w:rPr>
              <w:t>QADD pause-level IQR</w:t>
            </w:r>
          </w:p>
        </w:tc>
        <w:tc>
          <w:tcPr>
            <w:tcW w:type="dxa" w:w="5760"/>
            <w:vAlign w:val="center"/>
            <w:tcMar>
              <w:top w:w="80" w:type="dxa"/>
              <w:start w:w="80" w:type="dxa"/>
              <w:bottom w:w="80" w:type="dxa"/>
              <w:end w:w="80" w:type="dxa"/>
            </w:tcMar>
            <w:shd w:fill="EAF2F8"/>
          </w:tcPr>
          <w:p>
            <w:r>
              <w:rPr>
                <w:sz w:val="15"/>
              </w:rPr>
              <w:t>Complementary pause variability observable.</w:t>
            </w:r>
          </w:p>
        </w:tc>
      </w:tr>
      <w:tr>
        <w:tc>
          <w:tcPr>
            <w:tcW w:type="dxa" w:w="864"/>
            <w:vAlign w:val="center"/>
            <w:tcMar>
              <w:top w:w="80" w:type="dxa"/>
              <w:start w:w="80" w:type="dxa"/>
              <w:bottom w:w="80" w:type="dxa"/>
              <w:end w:w="80" w:type="dxa"/>
            </w:tcMar>
          </w:tcPr>
          <w:p>
            <w:r>
              <w:rPr>
                <w:sz w:val="15"/>
              </w:rPr>
              <w:t>G1</w:t>
            </w:r>
          </w:p>
        </w:tc>
        <w:tc>
          <w:tcPr>
            <w:tcW w:type="dxa" w:w="3816"/>
            <w:vAlign w:val="center"/>
            <w:tcMar>
              <w:top w:w="80" w:type="dxa"/>
              <w:start w:w="80" w:type="dxa"/>
              <w:bottom w:w="80" w:type="dxa"/>
              <w:end w:w="80" w:type="dxa"/>
            </w:tcMar>
          </w:tcPr>
          <w:p>
            <w:r>
              <w:rPr>
                <w:sz w:val="15"/>
              </w:rPr>
              <w:t>QGAIN typical speech level</w:t>
            </w:r>
          </w:p>
        </w:tc>
        <w:tc>
          <w:tcPr>
            <w:tcW w:type="dxa" w:w="5760"/>
            <w:vAlign w:val="center"/>
            <w:tcMar>
              <w:top w:w="80" w:type="dxa"/>
              <w:start w:w="80" w:type="dxa"/>
              <w:bottom w:w="80" w:type="dxa"/>
              <w:end w:w="80" w:type="dxa"/>
            </w:tcMar>
          </w:tcPr>
          <w:p>
            <w:r>
              <w:rPr>
                <w:sz w:val="15"/>
              </w:rPr>
              <w:t>Recorded operating level.</w:t>
            </w:r>
          </w:p>
        </w:tc>
      </w:tr>
      <w:tr>
        <w:tc>
          <w:tcPr>
            <w:tcW w:type="dxa" w:w="864"/>
            <w:vAlign w:val="center"/>
            <w:tcMar>
              <w:top w:w="80" w:type="dxa"/>
              <w:start w:w="80" w:type="dxa"/>
              <w:bottom w:w="80" w:type="dxa"/>
              <w:end w:w="80" w:type="dxa"/>
            </w:tcMar>
            <w:shd w:fill="EAF2F8"/>
          </w:tcPr>
          <w:p>
            <w:r>
              <w:rPr>
                <w:sz w:val="15"/>
              </w:rPr>
              <w:t>G2</w:t>
            </w:r>
          </w:p>
        </w:tc>
        <w:tc>
          <w:tcPr>
            <w:tcW w:type="dxa" w:w="3816"/>
            <w:vAlign w:val="center"/>
            <w:tcMar>
              <w:top w:w="80" w:type="dxa"/>
              <w:start w:w="80" w:type="dxa"/>
              <w:bottom w:w="80" w:type="dxa"/>
              <w:end w:w="80" w:type="dxa"/>
            </w:tcMar>
            <w:shd w:fill="EAF2F8"/>
          </w:tcPr>
          <w:p>
            <w:r>
              <w:rPr>
                <w:sz w:val="15"/>
              </w:rPr>
              <w:t>QGAIN within-segment IQR</w:t>
            </w:r>
          </w:p>
        </w:tc>
        <w:tc>
          <w:tcPr>
            <w:tcW w:type="dxa" w:w="5760"/>
            <w:vAlign w:val="center"/>
            <w:tcMar>
              <w:top w:w="80" w:type="dxa"/>
              <w:start w:w="80" w:type="dxa"/>
              <w:bottom w:w="80" w:type="dxa"/>
              <w:end w:w="80" w:type="dxa"/>
            </w:tcMar>
            <w:shd w:fill="EAF2F8"/>
          </w:tcPr>
          <w:p>
            <w:r>
              <w:rPr>
                <w:sz w:val="15"/>
              </w:rPr>
              <w:t>Local level dynamics.</w:t>
            </w:r>
          </w:p>
        </w:tc>
      </w:tr>
      <w:tr>
        <w:tc>
          <w:tcPr>
            <w:tcW w:type="dxa" w:w="864"/>
            <w:vAlign w:val="center"/>
            <w:tcMar>
              <w:top w:w="80" w:type="dxa"/>
              <w:start w:w="80" w:type="dxa"/>
              <w:bottom w:w="80" w:type="dxa"/>
              <w:end w:w="80" w:type="dxa"/>
            </w:tcMar>
          </w:tcPr>
          <w:p>
            <w:r>
              <w:rPr>
                <w:sz w:val="15"/>
              </w:rPr>
              <w:t>G3</w:t>
            </w:r>
          </w:p>
        </w:tc>
        <w:tc>
          <w:tcPr>
            <w:tcW w:type="dxa" w:w="3816"/>
            <w:vAlign w:val="center"/>
            <w:tcMar>
              <w:top w:w="80" w:type="dxa"/>
              <w:start w:w="80" w:type="dxa"/>
              <w:bottom w:w="80" w:type="dxa"/>
              <w:end w:w="80" w:type="dxa"/>
            </w:tcMar>
          </w:tcPr>
          <w:p>
            <w:r>
              <w:rPr>
                <w:sz w:val="15"/>
              </w:rPr>
              <w:t>QGAIN between-segment MAD</w:t>
            </w:r>
          </w:p>
        </w:tc>
        <w:tc>
          <w:tcPr>
            <w:tcW w:type="dxa" w:w="5760"/>
            <w:vAlign w:val="center"/>
            <w:tcMar>
              <w:top w:w="80" w:type="dxa"/>
              <w:start w:w="80" w:type="dxa"/>
              <w:bottom w:w="80" w:type="dxa"/>
              <w:end w:w="80" w:type="dxa"/>
            </w:tcMar>
          </w:tcPr>
          <w:p>
            <w:r>
              <w:rPr>
                <w:sz w:val="15"/>
              </w:rPr>
              <w:t>Segment-to-segment dynamics.</w:t>
            </w:r>
          </w:p>
        </w:tc>
      </w:tr>
      <w:tr>
        <w:tc>
          <w:tcPr>
            <w:tcW w:type="dxa" w:w="864"/>
            <w:vAlign w:val="center"/>
            <w:tcMar>
              <w:top w:w="80" w:type="dxa"/>
              <w:start w:w="80" w:type="dxa"/>
              <w:bottom w:w="80" w:type="dxa"/>
              <w:end w:w="80" w:type="dxa"/>
            </w:tcMar>
            <w:shd w:fill="EAF2F8"/>
          </w:tcPr>
          <w:p>
            <w:r>
              <w:rPr>
                <w:sz w:val="15"/>
              </w:rPr>
              <w:t>R4</w:t>
            </w:r>
          </w:p>
        </w:tc>
        <w:tc>
          <w:tcPr>
            <w:tcW w:type="dxa" w:w="3816"/>
            <w:vAlign w:val="center"/>
            <w:tcMar>
              <w:top w:w="80" w:type="dxa"/>
              <w:start w:w="80" w:type="dxa"/>
              <w:bottom w:w="80" w:type="dxa"/>
              <w:end w:w="80" w:type="dxa"/>
            </w:tcMar>
            <w:shd w:fill="EAF2F8"/>
          </w:tcPr>
          <w:p>
            <w:r>
              <w:rPr>
                <w:sz w:val="15"/>
              </w:rPr>
              <w:t>QREV normalized-fast SRMR</w:t>
            </w:r>
          </w:p>
        </w:tc>
        <w:tc>
          <w:tcPr>
            <w:tcW w:type="dxa" w:w="5760"/>
            <w:vAlign w:val="center"/>
            <w:tcMar>
              <w:top w:w="80" w:type="dxa"/>
              <w:start w:w="80" w:type="dxa"/>
              <w:bottom w:w="80" w:type="dxa"/>
              <w:end w:w="80" w:type="dxa"/>
            </w:tcMar>
            <w:shd w:fill="EAF2F8"/>
          </w:tcPr>
          <w:p>
            <w:r>
              <w:rPr>
                <w:sz w:val="15"/>
              </w:rPr>
              <w:t>High-coverage broad smearing comparator.</w:t>
            </w:r>
          </w:p>
        </w:tc>
      </w:tr>
      <w:tr>
        <w:tc>
          <w:tcPr>
            <w:tcW w:type="dxa" w:w="864"/>
            <w:vAlign w:val="center"/>
            <w:tcMar>
              <w:top w:w="80" w:type="dxa"/>
              <w:start w:w="80" w:type="dxa"/>
              <w:bottom w:w="80" w:type="dxa"/>
              <w:end w:w="80" w:type="dxa"/>
            </w:tcMar>
          </w:tcPr>
          <w:p>
            <w:r>
              <w:rPr>
                <w:sz w:val="15"/>
              </w:rPr>
              <w:t>C1</w:t>
            </w:r>
          </w:p>
        </w:tc>
        <w:tc>
          <w:tcPr>
            <w:tcW w:type="dxa" w:w="3816"/>
            <w:vAlign w:val="center"/>
            <w:tcMar>
              <w:top w:w="80" w:type="dxa"/>
              <w:start w:w="80" w:type="dxa"/>
              <w:bottom w:w="80" w:type="dxa"/>
              <w:end w:w="80" w:type="dxa"/>
            </w:tcMar>
          </w:tcPr>
          <w:p>
            <w:r>
              <w:rPr>
                <w:sz w:val="15"/>
              </w:rPr>
              <w:t>QCHAN LTAS distance</w:t>
            </w:r>
          </w:p>
        </w:tc>
        <w:tc>
          <w:tcPr>
            <w:tcW w:type="dxa" w:w="5760"/>
            <w:vAlign w:val="center"/>
            <w:tcMar>
              <w:top w:w="80" w:type="dxa"/>
              <w:start w:w="80" w:type="dxa"/>
              <w:bottom w:w="80" w:type="dxa"/>
              <w:end w:w="80" w:type="dxa"/>
            </w:tcMar>
          </w:tcPr>
          <w:p>
            <w:r>
              <w:rPr>
                <w:sz w:val="15"/>
              </w:rPr>
              <w:t>Broad reference-relative spectral deviation.</w:t>
            </w:r>
          </w:p>
        </w:tc>
      </w:tr>
      <w:tr>
        <w:tc>
          <w:tcPr>
            <w:tcW w:type="dxa" w:w="864"/>
            <w:vAlign w:val="center"/>
            <w:tcMar>
              <w:top w:w="80" w:type="dxa"/>
              <w:start w:w="80" w:type="dxa"/>
              <w:bottom w:w="80" w:type="dxa"/>
              <w:end w:w="80" w:type="dxa"/>
            </w:tcMar>
            <w:shd w:fill="EAF2F8"/>
          </w:tcPr>
          <w:p>
            <w:r>
              <w:rPr>
                <w:sz w:val="15"/>
              </w:rPr>
              <w:t>C2</w:t>
            </w:r>
          </w:p>
        </w:tc>
        <w:tc>
          <w:tcPr>
            <w:tcW w:type="dxa" w:w="3816"/>
            <w:vAlign w:val="center"/>
            <w:tcMar>
              <w:top w:w="80" w:type="dxa"/>
              <w:start w:w="80" w:type="dxa"/>
              <w:bottom w:w="80" w:type="dxa"/>
              <w:end w:w="80" w:type="dxa"/>
            </w:tcMar>
            <w:shd w:fill="EAF2F8"/>
          </w:tcPr>
          <w:p>
            <w:r>
              <w:rPr>
                <w:sz w:val="15"/>
              </w:rPr>
              <w:t>QCHAN rolloff-95 deficit</w:t>
            </w:r>
          </w:p>
        </w:tc>
        <w:tc>
          <w:tcPr>
            <w:tcW w:type="dxa" w:w="5760"/>
            <w:vAlign w:val="center"/>
            <w:tcMar>
              <w:top w:w="80" w:type="dxa"/>
              <w:start w:w="80" w:type="dxa"/>
              <w:bottom w:w="80" w:type="dxa"/>
              <w:end w:w="80" w:type="dxa"/>
            </w:tcMar>
            <w:shd w:fill="EAF2F8"/>
          </w:tcPr>
          <w:p>
            <w:r>
              <w:rPr>
                <w:sz w:val="15"/>
              </w:rPr>
              <w:t>Primary directional upper-frequency deficit.</w:t>
            </w:r>
          </w:p>
        </w:tc>
      </w:tr>
    </w:tbl>
    <w:p/>
    <w:p>
      <w:r>
        <w:t>The high-band deficit is added and substituted for rolloff in prespecified sensitivity PCAs. QREV boundary features, QDIST, and QTEMP do not enter the primary PCA.</w:t>
      </w:r>
    </w:p>
    <w:p>
      <w:pPr>
        <w:pStyle w:val="Heading1"/>
        <w:keepNext/>
      </w:pPr>
      <w:r>
        <w:t>4. Pairwise support and estimators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1F4E79"/>
            <w:vAlign w:val="center"/>
            <w:tcMar>
              <w:top w:w="80" w:type="dxa"/>
              <w:start w:w="80" w:type="dxa"/>
              <w:bottom w:w="80" w:type="dxa"/>
              <w:end w:w="80" w:type="dxa"/>
            </w:tcMar>
          </w:tcPr>
          <w:p>
            <w:r>
              <w:rPr>
                <w:b/>
                <w:color w:val="FFFFFF"/>
                <w:sz w:val="16"/>
              </w:rPr>
              <w:t>Analysis</w:t>
            </w:r>
          </w:p>
        </w:tc>
        <w:tc>
          <w:tcPr>
            <w:tcW w:type="dxa" w:w="3744"/>
            <w:shd w:fill="1F4E79"/>
            <w:vAlign w:val="center"/>
            <w:tcMar>
              <w:top w:w="80" w:type="dxa"/>
              <w:start w:w="80" w:type="dxa"/>
              <w:bottom w:w="80" w:type="dxa"/>
              <w:end w:w="80" w:type="dxa"/>
            </w:tcMar>
          </w:tcPr>
          <w:p>
            <w:r>
              <w:rPr>
                <w:b/>
                <w:color w:val="FFFFFF"/>
                <w:sz w:val="16"/>
              </w:rPr>
              <w:t>Support gate</w:t>
            </w:r>
          </w:p>
        </w:tc>
        <w:tc>
          <w:tcPr>
            <w:tcW w:type="dxa" w:w="3600"/>
            <w:shd w:fill="1F4E79"/>
            <w:vAlign w:val="center"/>
            <w:tcMar>
              <w:top w:w="80" w:type="dxa"/>
              <w:start w:w="80" w:type="dxa"/>
              <w:bottom w:w="80" w:type="dxa"/>
              <w:end w:w="80" w:type="dxa"/>
            </w:tcMar>
          </w:tcPr>
          <w:p>
            <w:r>
              <w:rPr>
                <w:b/>
                <w:color w:val="FFFFFF"/>
                <w:sz w:val="16"/>
              </w:rPr>
              <w:t>Estimator</w:t>
            </w:r>
          </w:p>
        </w:tc>
        <w:tc>
          <w:tcPr>
            <w:tcW w:type="dxa" w:w="2304"/>
            <w:shd w:fill="1F4E79"/>
            <w:vAlign w:val="center"/>
            <w:tcMar>
              <w:top w:w="80" w:type="dxa"/>
              <w:start w:w="80" w:type="dxa"/>
              <w:bottom w:w="80" w:type="dxa"/>
              <w:end w:w="80" w:type="dxa"/>
            </w:tcMar>
          </w:tcPr>
          <w:p>
            <w:r>
              <w:rPr>
                <w:b/>
                <w:color w:val="FFFFFF"/>
                <w:sz w:val="16"/>
              </w:rPr>
              <w:t>Uncertainty</w:t>
            </w:r>
          </w:p>
        </w:tc>
      </w:tr>
      <w:tr>
        <w:tc>
          <w:tcPr>
            <w:tcW w:type="dxa" w:w="1728"/>
            <w:vAlign w:val="center"/>
            <w:tcMar>
              <w:top w:w="80" w:type="dxa"/>
              <w:start w:w="80" w:type="dxa"/>
              <w:bottom w:w="80" w:type="dxa"/>
              <w:end w:w="80" w:type="dxa"/>
            </w:tcMar>
          </w:tcPr>
          <w:p>
            <w:r>
              <w:rPr>
                <w:sz w:val="15"/>
              </w:rPr>
              <w:t>Between participant</w:t>
            </w:r>
          </w:p>
        </w:tc>
        <w:tc>
          <w:tcPr>
            <w:tcW w:type="dxa" w:w="3744"/>
            <w:vAlign w:val="center"/>
            <w:tcMar>
              <w:top w:w="80" w:type="dxa"/>
              <w:start w:w="80" w:type="dxa"/>
              <w:bottom w:w="80" w:type="dxa"/>
              <w:end w:w="80" w:type="dxa"/>
            </w:tcMar>
          </w:tcPr>
          <w:p>
            <w:r>
              <w:rPr>
                <w:sz w:val="15"/>
              </w:rPr>
              <w:t>At least 50 jointly observed participants; both variables nonconstant.</w:t>
            </w:r>
          </w:p>
        </w:tc>
        <w:tc>
          <w:tcPr>
            <w:tcW w:type="dxa" w:w="3600"/>
            <w:vAlign w:val="center"/>
            <w:tcMar>
              <w:top w:w="80" w:type="dxa"/>
              <w:start w:w="80" w:type="dxa"/>
              <w:bottom w:w="80" w:type="dxa"/>
              <w:end w:w="80" w:type="dxa"/>
            </w:tcMar>
          </w:tcPr>
          <w:p>
            <w:r>
              <w:rPr>
                <w:sz w:val="15"/>
              </w:rPr>
              <w:t>Spearman correlation of participant means of frozen transformed values.</w:t>
            </w:r>
          </w:p>
        </w:tc>
        <w:tc>
          <w:tcPr>
            <w:tcW w:type="dxa" w:w="2304"/>
            <w:vAlign w:val="center"/>
            <w:tcMar>
              <w:top w:w="80" w:type="dxa"/>
              <w:start w:w="80" w:type="dxa"/>
              <w:bottom w:w="80" w:type="dxa"/>
              <w:end w:w="80" w:type="dxa"/>
            </w:tcMar>
          </w:tcPr>
          <w:p>
            <w:r>
              <w:rPr>
                <w:sz w:val="15"/>
              </w:rPr>
              <w:t>2,000 participant bootstrap replicates in final run.</w:t>
            </w:r>
          </w:p>
        </w:tc>
      </w:tr>
      <w:tr>
        <w:tc>
          <w:tcPr>
            <w:tcW w:type="dxa" w:w="1728"/>
            <w:vAlign w:val="center"/>
            <w:tcMar>
              <w:top w:w="80" w:type="dxa"/>
              <w:start w:w="80" w:type="dxa"/>
              <w:bottom w:w="80" w:type="dxa"/>
              <w:end w:w="80" w:type="dxa"/>
            </w:tcMar>
            <w:shd w:fill="EAF2F8"/>
          </w:tcPr>
          <w:p>
            <w:r>
              <w:rPr>
                <w:sz w:val="15"/>
              </w:rPr>
              <w:t>Within participant</w:t>
            </w:r>
          </w:p>
        </w:tc>
        <w:tc>
          <w:tcPr>
            <w:tcW w:type="dxa" w:w="3744"/>
            <w:vAlign w:val="center"/>
            <w:tcMar>
              <w:top w:w="80" w:type="dxa"/>
              <w:start w:w="80" w:type="dxa"/>
              <w:bottom w:w="80" w:type="dxa"/>
              <w:end w:w="80" w:type="dxa"/>
            </w:tcMar>
            <w:shd w:fill="EAF2F8"/>
          </w:tcPr>
          <w:p>
            <w:r>
              <w:rPr>
                <w:sz w:val="15"/>
              </w:rPr>
              <w:t>At least 20 participants with &gt;=2 joint recordings and variation in both variables; at least 50 joint recordings.</w:t>
            </w:r>
          </w:p>
        </w:tc>
        <w:tc>
          <w:tcPr>
            <w:tcW w:type="dxa" w:w="3600"/>
            <w:vAlign w:val="center"/>
            <w:tcMar>
              <w:top w:w="80" w:type="dxa"/>
              <w:start w:w="80" w:type="dxa"/>
              <w:bottom w:w="80" w:type="dxa"/>
              <w:end w:w="80" w:type="dxa"/>
            </w:tcMar>
            <w:shd w:fill="EAF2F8"/>
          </w:tcPr>
          <w:p>
            <w:r>
              <w:rPr>
                <w:sz w:val="15"/>
              </w:rPr>
              <w:t>Global ranks, participant-mean centering, then weighted correlation with total weight 1 per participant.</w:t>
            </w:r>
          </w:p>
        </w:tc>
        <w:tc>
          <w:tcPr>
            <w:tcW w:type="dxa" w:w="2304"/>
            <w:vAlign w:val="center"/>
            <w:tcMar>
              <w:top w:w="80" w:type="dxa"/>
              <w:start w:w="80" w:type="dxa"/>
              <w:bottom w:w="80" w:type="dxa"/>
              <w:end w:w="80" w:type="dxa"/>
            </w:tcMar>
            <w:shd w:fill="EAF2F8"/>
          </w:tcPr>
          <w:p>
            <w:r>
              <w:rPr>
                <w:sz w:val="15"/>
              </w:rPr>
              <w:t>2,000 participant-cluster bootstrap replicates in final run.</w:t>
            </w:r>
          </w:p>
        </w:tc>
      </w:tr>
      <w:tr>
        <w:tc>
          <w:tcPr>
            <w:tcW w:type="dxa" w:w="1728"/>
            <w:vAlign w:val="center"/>
            <w:tcMar>
              <w:top w:w="80" w:type="dxa"/>
              <w:start w:w="80" w:type="dxa"/>
              <w:bottom w:w="80" w:type="dxa"/>
              <w:end w:w="80" w:type="dxa"/>
            </w:tcMar>
          </w:tcPr>
          <w:p>
            <w:r>
              <w:rPr>
                <w:sz w:val="15"/>
              </w:rPr>
              <w:t>Family contrast</w:t>
            </w:r>
          </w:p>
        </w:tc>
        <w:tc>
          <w:tcPr>
            <w:tcW w:type="dxa" w:w="3744"/>
            <w:vAlign w:val="center"/>
            <w:tcMar>
              <w:top w:w="80" w:type="dxa"/>
              <w:start w:w="80" w:type="dxa"/>
              <w:bottom w:w="80" w:type="dxa"/>
              <w:end w:w="80" w:type="dxa"/>
            </w:tcMar>
          </w:tcPr>
          <w:p>
            <w:r>
              <w:rPr>
                <w:sz w:val="15"/>
              </w:rPr>
              <w:t>Only estimable nonstructural pairs.</w:t>
            </w:r>
          </w:p>
        </w:tc>
        <w:tc>
          <w:tcPr>
            <w:tcW w:type="dxa" w:w="3600"/>
            <w:vAlign w:val="center"/>
            <w:tcMar>
              <w:top w:w="80" w:type="dxa"/>
              <w:start w:w="80" w:type="dxa"/>
              <w:bottom w:w="80" w:type="dxa"/>
              <w:end w:w="80" w:type="dxa"/>
            </w:tcMar>
          </w:tcPr>
          <w:p>
            <w:r>
              <w:rPr>
                <w:sz w:val="15"/>
              </w:rPr>
              <w:t>Mean |rho| within family minus mean |rho| between family.</w:t>
            </w:r>
          </w:p>
        </w:tc>
        <w:tc>
          <w:tcPr>
            <w:tcW w:type="dxa" w:w="2304"/>
            <w:vAlign w:val="center"/>
            <w:tcMar>
              <w:top w:w="80" w:type="dxa"/>
              <w:start w:w="80" w:type="dxa"/>
              <w:bottom w:w="80" w:type="dxa"/>
              <w:end w:w="80" w:type="dxa"/>
            </w:tcMar>
          </w:tcPr>
          <w:p>
            <w:r>
              <w:rPr>
                <w:sz w:val="15"/>
              </w:rPr>
              <w:t>2,000 coherent participant bootstraps; 10,000 label permutations.</w:t>
            </w:r>
          </w:p>
        </w:tc>
      </w:tr>
      <w:tr>
        <w:tc>
          <w:tcPr>
            <w:tcW w:type="dxa" w:w="1728"/>
            <w:vAlign w:val="center"/>
            <w:tcMar>
              <w:top w:w="80" w:type="dxa"/>
              <w:start w:w="80" w:type="dxa"/>
              <w:bottom w:w="80" w:type="dxa"/>
              <w:end w:w="80" w:type="dxa"/>
            </w:tcMar>
            <w:shd w:fill="EAF2F8"/>
          </w:tcPr>
          <w:p>
            <w:r>
              <w:rPr>
                <w:sz w:val="15"/>
              </w:rPr>
              <w:t>PCA</w:t>
            </w:r>
          </w:p>
        </w:tc>
        <w:tc>
          <w:tcPr>
            <w:tcW w:type="dxa" w:w="3744"/>
            <w:vAlign w:val="center"/>
            <w:tcMar>
              <w:top w:w="80" w:type="dxa"/>
              <w:start w:w="80" w:type="dxa"/>
              <w:bottom w:w="80" w:type="dxa"/>
              <w:end w:w="80" w:type="dxa"/>
            </w:tcMar>
            <w:shd w:fill="EAF2F8"/>
          </w:tcPr>
          <w:p>
            <w:r>
              <w:rPr>
                <w:sz w:val="15"/>
              </w:rPr>
              <w:t>At least 100 complete participant profiles and 50 repeated complete participants.</w:t>
            </w:r>
          </w:p>
        </w:tc>
        <w:tc>
          <w:tcPr>
            <w:tcW w:type="dxa" w:w="3600"/>
            <w:vAlign w:val="center"/>
            <w:tcMar>
              <w:top w:w="80" w:type="dxa"/>
              <w:start w:w="80" w:type="dxa"/>
              <w:bottom w:w="80" w:type="dxa"/>
              <w:end w:w="80" w:type="dxa"/>
            </w:tcMar>
            <w:shd w:fill="EAF2F8"/>
          </w:tcPr>
          <w:p>
            <w:r>
              <w:rPr>
                <w:sz w:val="15"/>
              </w:rPr>
              <w:t>Separate correlation-matrix eigendecomposition.</w:t>
            </w:r>
          </w:p>
        </w:tc>
        <w:tc>
          <w:tcPr>
            <w:tcW w:type="dxa" w:w="2304"/>
            <w:vAlign w:val="center"/>
            <w:tcMar>
              <w:top w:w="80" w:type="dxa"/>
              <w:start w:w="80" w:type="dxa"/>
              <w:bottom w:w="80" w:type="dxa"/>
              <w:end w:w="80" w:type="dxa"/>
            </w:tcMar>
            <w:shd w:fill="EAF2F8"/>
          </w:tcPr>
          <w:p>
            <w:r>
              <w:rPr>
                <w:sz w:val="15"/>
              </w:rPr>
              <w:t>Parallel analysis and 2,000 participant bootstraps.</w:t>
            </w:r>
          </w:p>
        </w:tc>
      </w:tr>
    </w:tbl>
    <w:p/>
    <w:p>
      <w:r>
        <w:t>Bootstrap confidence intervals are reported only when at least 90% of replicates return finite estimates. Cells failing a support gate are displayed as unavailable, never as zero.</w:t>
      </w:r>
    </w:p>
    <w:p>
      <w:pPr>
        <w:pStyle w:val="Heading1"/>
        <w:keepNext/>
      </w:pPr>
      <w:r>
        <w:t>5. Interpretation of overlap and redundancy</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9"/>
            <w:vAlign w:val="center"/>
            <w:tcMar>
              <w:top w:w="80" w:type="dxa"/>
              <w:start w:w="80" w:type="dxa"/>
              <w:bottom w:w="80" w:type="dxa"/>
              <w:end w:w="80" w:type="dxa"/>
            </w:tcMar>
          </w:tcPr>
          <w:p>
            <w:r>
              <w:rPr>
                <w:b/>
                <w:color w:val="FFFFFF"/>
                <w:sz w:val="16"/>
              </w:rPr>
              <w:t>Classification</w:t>
            </w:r>
          </w:p>
        </w:tc>
        <w:tc>
          <w:tcPr>
            <w:tcW w:type="dxa" w:w="4464"/>
            <w:shd w:fill="1F4E79"/>
            <w:vAlign w:val="center"/>
            <w:tcMar>
              <w:top w:w="80" w:type="dxa"/>
              <w:start w:w="80" w:type="dxa"/>
              <w:bottom w:w="80" w:type="dxa"/>
              <w:end w:w="80" w:type="dxa"/>
            </w:tcMar>
          </w:tcPr>
          <w:p>
            <w:r>
              <w:rPr>
                <w:b/>
                <w:color w:val="FFFFFF"/>
                <w:sz w:val="16"/>
              </w:rPr>
              <w:t>Frozen rule</w:t>
            </w:r>
          </w:p>
        </w:tc>
        <w:tc>
          <w:tcPr>
            <w:tcW w:type="dxa" w:w="4104"/>
            <w:shd w:fill="1F4E79"/>
            <w:vAlign w:val="center"/>
            <w:tcMar>
              <w:top w:w="80" w:type="dxa"/>
              <w:start w:w="80" w:type="dxa"/>
              <w:bottom w:w="80" w:type="dxa"/>
              <w:end w:w="80" w:type="dxa"/>
            </w:tcMar>
          </w:tcPr>
          <w:p>
            <w:r>
              <w:rPr>
                <w:b/>
                <w:color w:val="FFFFFF"/>
                <w:sz w:val="16"/>
              </w:rPr>
              <w:t>Interpretation</w:t>
            </w:r>
          </w:p>
        </w:tc>
      </w:tr>
      <w:tr>
        <w:tc>
          <w:tcPr>
            <w:tcW w:type="dxa" w:w="2088"/>
            <w:vAlign w:val="center"/>
            <w:tcMar>
              <w:top w:w="80" w:type="dxa"/>
              <w:start w:w="80" w:type="dxa"/>
              <w:bottom w:w="80" w:type="dxa"/>
              <w:end w:w="80" w:type="dxa"/>
            </w:tcMar>
          </w:tcPr>
          <w:p>
            <w:r>
              <w:rPr>
                <w:sz w:val="15"/>
              </w:rPr>
              <w:t>Structurally dependent</w:t>
            </w:r>
          </w:p>
        </w:tc>
        <w:tc>
          <w:tcPr>
            <w:tcW w:type="dxa" w:w="4464"/>
            <w:vAlign w:val="center"/>
            <w:tcMar>
              <w:top w:w="80" w:type="dxa"/>
              <w:start w:w="80" w:type="dxa"/>
              <w:bottom w:w="80" w:type="dxa"/>
              <w:end w:w="80" w:type="dxa"/>
            </w:tcMar>
          </w:tcPr>
          <w:p>
            <w:r>
              <w:rPr>
                <w:sz w:val="15"/>
              </w:rPr>
              <w:t>Declared before analysis because outputs share a deterministic or near-deterministic estimator ledger.</w:t>
            </w:r>
          </w:p>
        </w:tc>
        <w:tc>
          <w:tcPr>
            <w:tcW w:type="dxa" w:w="4104"/>
            <w:vAlign w:val="center"/>
            <w:tcMar>
              <w:top w:w="80" w:type="dxa"/>
              <w:start w:w="80" w:type="dxa"/>
              <w:bottom w:w="80" w:type="dxa"/>
              <w:end w:w="80" w:type="dxa"/>
            </w:tcMar>
          </w:tcPr>
          <w:p>
            <w:r>
              <w:rPr>
                <w:sz w:val="15"/>
              </w:rPr>
              <w:t>Not evidence that a family is empirically one-dimensional.</w:t>
            </w:r>
          </w:p>
        </w:tc>
      </w:tr>
      <w:tr>
        <w:tc>
          <w:tcPr>
            <w:tcW w:type="dxa" w:w="2088"/>
            <w:vAlign w:val="center"/>
            <w:tcMar>
              <w:top w:w="80" w:type="dxa"/>
              <w:start w:w="80" w:type="dxa"/>
              <w:bottom w:w="80" w:type="dxa"/>
              <w:end w:w="80" w:type="dxa"/>
            </w:tcMar>
            <w:shd w:fill="EAF2F8"/>
          </w:tcPr>
          <w:p>
            <w:r>
              <w:rPr>
                <w:sz w:val="15"/>
              </w:rPr>
              <w:t>Potentially redundant</w:t>
            </w:r>
          </w:p>
        </w:tc>
        <w:tc>
          <w:tcPr>
            <w:tcW w:type="dxa" w:w="4464"/>
            <w:vAlign w:val="center"/>
            <w:tcMar>
              <w:top w:w="80" w:type="dxa"/>
              <w:start w:w="80" w:type="dxa"/>
              <w:bottom w:w="80" w:type="dxa"/>
              <w:end w:w="80" w:type="dxa"/>
            </w:tcMar>
            <w:shd w:fill="EAF2F8"/>
          </w:tcPr>
          <w:p>
            <w:r>
              <w:t>|rho_between| and |rho_within| &gt;=0.80 with the same sign; both bootstrap intervals remain in that direction with minimum absolute bound &gt;=0.60; construct and support meanings are compatible.</w:t>
            </w:r>
          </w:p>
        </w:tc>
        <w:tc>
          <w:tcPr>
            <w:tcW w:type="dxa" w:w="4104"/>
            <w:vAlign w:val="center"/>
            <w:tcMar>
              <w:top w:w="80" w:type="dxa"/>
              <w:start w:w="80" w:type="dxa"/>
              <w:bottom w:w="80" w:type="dxa"/>
              <w:end w:w="80" w:type="dxa"/>
            </w:tcMar>
            <w:shd w:fill="EAF2F8"/>
          </w:tcPr>
          <w:p>
            <w:r>
              <w:t>Either output may add little distinct information, but removal still depends on scientific role, support, and sensitivity results.</w:t>
            </w:r>
          </w:p>
        </w:tc>
      </w:tr>
      <w:tr>
        <w:tc>
          <w:tcPr>
            <w:tcW w:type="dxa" w:w="2088"/>
            <w:vAlign w:val="center"/>
            <w:tcMar>
              <w:top w:w="80" w:type="dxa"/>
              <w:start w:w="80" w:type="dxa"/>
              <w:bottom w:w="80" w:type="dxa"/>
              <w:end w:w="80" w:type="dxa"/>
            </w:tcMar>
          </w:tcPr>
          <w:p>
            <w:r>
              <w:rPr>
                <w:sz w:val="15"/>
              </w:rPr>
              <w:t>Strongly overlapping</w:t>
            </w:r>
          </w:p>
        </w:tc>
        <w:tc>
          <w:tcPr>
            <w:tcW w:type="dxa" w:w="4464"/>
            <w:vAlign w:val="center"/>
            <w:tcMar>
              <w:top w:w="80" w:type="dxa"/>
              <w:start w:w="80" w:type="dxa"/>
              <w:bottom w:w="80" w:type="dxa"/>
              <w:end w:w="80" w:type="dxa"/>
            </w:tcMar>
          </w:tcPr>
          <w:p>
            <w:r>
              <w:t>Both absolute correlations &gt;=0.60 with the same sign; both bootstrap intervals remain in that direction with minimum absolute bound &gt;=0.35.</w:t>
            </w:r>
          </w:p>
        </w:tc>
        <w:tc>
          <w:tcPr>
            <w:tcW w:type="dxa" w:w="4104"/>
            <w:vAlign w:val="center"/>
            <w:tcMar>
              <w:top w:w="80" w:type="dxa"/>
              <w:start w:w="80" w:type="dxa"/>
              <w:bottom w:w="80" w:type="dxa"/>
              <w:end w:w="80" w:type="dxa"/>
            </w:tcMar>
          </w:tcPr>
          <w:p>
            <w:r>
              <w:rPr>
                <w:sz w:val="15"/>
              </w:rPr>
              <w:t>Shared structure exists at both participant and session levels.</w:t>
            </w:r>
          </w:p>
        </w:tc>
      </w:tr>
      <w:tr>
        <w:tc>
          <w:tcPr>
            <w:tcW w:type="dxa" w:w="2088"/>
            <w:vAlign w:val="center"/>
            <w:tcMar>
              <w:top w:w="80" w:type="dxa"/>
              <w:start w:w="80" w:type="dxa"/>
              <w:bottom w:w="80" w:type="dxa"/>
              <w:end w:w="80" w:type="dxa"/>
            </w:tcMar>
            <w:shd w:fill="EAF2F8"/>
          </w:tcPr>
          <w:p>
            <w:r>
              <w:rPr>
                <w:sz w:val="15"/>
              </w:rPr>
              <w:t>Between-participant dominant</w:t>
            </w:r>
          </w:p>
        </w:tc>
        <w:tc>
          <w:tcPr>
            <w:tcW w:type="dxa" w:w="4464"/>
            <w:vAlign w:val="center"/>
            <w:tcMar>
              <w:top w:w="80" w:type="dxa"/>
              <w:start w:w="80" w:type="dxa"/>
              <w:bottom w:w="80" w:type="dxa"/>
              <w:end w:w="80" w:type="dxa"/>
            </w:tcMar>
            <w:shd w:fill="EAF2F8"/>
          </w:tcPr>
          <w:p>
            <w:r>
              <w:rPr>
                <w:sz w:val="15"/>
              </w:rPr>
              <w:t>Between absolute correlation exceeds within by &gt;=0.30 and is &gt;=0.40.</w:t>
            </w:r>
          </w:p>
        </w:tc>
        <w:tc>
          <w:tcPr>
            <w:tcW w:type="dxa" w:w="4104"/>
            <w:vAlign w:val="center"/>
            <w:tcMar>
              <w:top w:w="80" w:type="dxa"/>
              <w:start w:w="80" w:type="dxa"/>
              <w:bottom w:w="80" w:type="dxa"/>
              <w:end w:w="80" w:type="dxa"/>
            </w:tcMar>
            <w:shd w:fill="EAF2F8"/>
          </w:tcPr>
          <w:p>
            <w:r>
              <w:rPr>
                <w:sz w:val="15"/>
              </w:rPr>
              <w:t>Relationship is mainly a persistent profile or setup/phenotype association.</w:t>
            </w:r>
          </w:p>
        </w:tc>
      </w:tr>
      <w:tr>
        <w:tc>
          <w:tcPr>
            <w:tcW w:type="dxa" w:w="2088"/>
            <w:vAlign w:val="center"/>
            <w:tcMar>
              <w:top w:w="80" w:type="dxa"/>
              <w:start w:w="80" w:type="dxa"/>
              <w:bottom w:w="80" w:type="dxa"/>
              <w:end w:w="80" w:type="dxa"/>
            </w:tcMar>
          </w:tcPr>
          <w:p>
            <w:r>
              <w:rPr>
                <w:sz w:val="15"/>
              </w:rPr>
              <w:t>Within-participant dominant</w:t>
            </w:r>
          </w:p>
        </w:tc>
        <w:tc>
          <w:tcPr>
            <w:tcW w:type="dxa" w:w="4464"/>
            <w:vAlign w:val="center"/>
            <w:tcMar>
              <w:top w:w="80" w:type="dxa"/>
              <w:start w:w="80" w:type="dxa"/>
              <w:bottom w:w="80" w:type="dxa"/>
              <w:end w:w="80" w:type="dxa"/>
            </w:tcMar>
          </w:tcPr>
          <w:p>
            <w:r>
              <w:rPr>
                <w:sz w:val="15"/>
              </w:rPr>
              <w:t>Within absolute correlation exceeds between by &gt;=0.30 and is &gt;=0.40.</w:t>
            </w:r>
          </w:p>
        </w:tc>
        <w:tc>
          <w:tcPr>
            <w:tcW w:type="dxa" w:w="4104"/>
            <w:vAlign w:val="center"/>
            <w:tcMar>
              <w:top w:w="80" w:type="dxa"/>
              <w:start w:w="80" w:type="dxa"/>
              <w:bottom w:w="80" w:type="dxa"/>
              <w:end w:w="80" w:type="dxa"/>
            </w:tcMar>
          </w:tcPr>
          <w:p>
            <w:r>
              <w:rPr>
                <w:sz w:val="15"/>
              </w:rPr>
              <w:t>Relationship is mainly session-level co-variation.</w:t>
            </w:r>
          </w:p>
        </w:tc>
      </w:tr>
      <w:tr>
        <w:tc>
          <w:tcPr>
            <w:tcW w:type="dxa" w:w="2088"/>
            <w:vAlign w:val="center"/>
            <w:tcMar>
              <w:top w:w="80" w:type="dxa"/>
              <w:start w:w="80" w:type="dxa"/>
              <w:bottom w:w="80" w:type="dxa"/>
              <w:end w:w="80" w:type="dxa"/>
            </w:tcMar>
            <w:shd w:fill="EAF2F8"/>
          </w:tcPr>
          <w:p>
            <w:r>
              <w:rPr>
                <w:sz w:val="15"/>
              </w:rPr>
              <w:t>Largely distinct</w:t>
            </w:r>
          </w:p>
        </w:tc>
        <w:tc>
          <w:tcPr>
            <w:tcW w:type="dxa" w:w="4464"/>
            <w:vAlign w:val="center"/>
            <w:tcMar>
              <w:top w:w="80" w:type="dxa"/>
              <w:start w:w="80" w:type="dxa"/>
              <w:bottom w:w="80" w:type="dxa"/>
              <w:end w:w="80" w:type="dxa"/>
            </w:tcMar>
            <w:shd w:fill="EAF2F8"/>
          </w:tcPr>
          <w:p>
            <w:r>
              <w:rPr>
                <w:sz w:val="15"/>
              </w:rPr>
              <w:t>Both absolute correlations &lt;0.30.</w:t>
            </w:r>
          </w:p>
        </w:tc>
        <w:tc>
          <w:tcPr>
            <w:tcW w:type="dxa" w:w="4104"/>
            <w:vAlign w:val="center"/>
            <w:tcMar>
              <w:top w:w="80" w:type="dxa"/>
              <w:start w:w="80" w:type="dxa"/>
              <w:bottom w:w="80" w:type="dxa"/>
              <w:end w:w="80" w:type="dxa"/>
            </w:tcMar>
            <w:shd w:fill="EAF2F8"/>
          </w:tcPr>
          <w:p>
            <w:r>
              <w:rPr>
                <w:sz w:val="15"/>
              </w:rPr>
              <w:t>No strong shared structure at either level.</w:t>
            </w:r>
          </w:p>
        </w:tc>
      </w:tr>
    </w:tbl>
    <w:p/>
    <w:p>
      <w:pPr>
        <w:pStyle w:val="Heading1"/>
        <w:keepNext/>
      </w:pPr>
      <w:r>
        <w:t>6. Family organization and multilevel PCA</w:t>
      </w:r>
    </w:p>
    <w:p>
      <w:pPr>
        <w:pStyle w:val="Heading2"/>
        <w:keepNext/>
      </w:pPr>
      <w:r>
        <w:t>6.1 Family organization</w:t>
      </w:r>
    </w:p>
    <w:p>
      <w:r>
        <w:t>The observed family contrast is calculated separately for the between- and within-participant matrices after excluding governed same-ledger pairs. Participant bootstrap intervals are primary. The family-label permutation preserves family sizes and the observed support mask and is reported as a descriptive sensitivity, not proof that the taxonomy is uniquely correct.</w:t>
      </w:r>
    </w:p>
    <w:p>
      <w:pPr>
        <w:pStyle w:val="Heading2"/>
        <w:keepNext/>
      </w:pPr>
      <w:r>
        <w:t>6.2 PCA construction</w:t>
      </w:r>
    </w:p>
    <w:p>
      <w:pPr>
        <w:pStyle w:val="ListBullet"/>
        <w:spacing w:after="40"/>
      </w:pPr>
      <w:r>
        <w:rPr>
          <w:sz w:val="18"/>
        </w:rPr>
        <w:t>Between PCA uses one complete mean profile per participant and decomposes the participant-level correlation matrix.</w:t>
      </w:r>
    </w:p>
    <w:p>
      <w:pPr>
        <w:pStyle w:val="ListBullet"/>
        <w:spacing w:after="40"/>
      </w:pPr>
      <w:r>
        <w:rPr>
          <w:sz w:val="18"/>
        </w:rPr>
        <w:t>Within PCA computes a covariance matrix within each repeated complete participant, averages those covariance matrices with equal participant weight, converts the result to a correlation matrix, and decomposes it.</w:t>
      </w:r>
    </w:p>
    <w:p>
      <w:pPr>
        <w:pStyle w:val="ListBullet"/>
        <w:spacing w:after="40"/>
      </w:pPr>
      <w:r>
        <w:rPr>
          <w:sz w:val="18"/>
        </w:rPr>
        <w:t>Parallel analysis uses the corresponding between- or within-participant sample structure.</w:t>
      </w:r>
    </w:p>
    <w:p>
      <w:pPr>
        <w:pStyle w:val="ListBullet"/>
        <w:spacing w:after="40"/>
      </w:pPr>
      <w:r>
        <w:rPr>
          <w:sz w:val="18"/>
        </w:rPr>
        <w:t>Bootstrap components are aligned to the reference solution by maximum loading-pattern similarity and sign alignment.</w:t>
      </w:r>
    </w:p>
    <w:p>
      <w:pPr>
        <w:pStyle w:val="ListBullet"/>
        <w:spacing w:after="40"/>
      </w:pPr>
      <w:r>
        <w:rPr>
          <w:sz w:val="18"/>
        </w:rPr>
        <w:t>A component is displayed as retained only when its eigenvalue exceeds the parallel-analysis 95th percentile, median loading similarity is at least 0.80, and the 5th percentile is at least 0.50.</w:t>
      </w:r>
    </w:p>
    <w:p>
      <w:pPr>
        <w:pStyle w:val="Heading1"/>
        <w:keepNext/>
      </w:pPr>
      <w:r>
        <w:t>7. Prespecified sensitivity analyses</w:t>
      </w:r>
    </w:p>
    <w:p>
      <w:pPr>
        <w:pStyle w:val="ListBullet"/>
        <w:spacing w:after="40"/>
      </w:pPr>
      <w:r>
        <w:rPr>
          <w:sz w:val="18"/>
        </w:rPr>
        <w:t>Participant medians instead of means for between-participant profiles.</w:t>
      </w:r>
    </w:p>
    <w:p>
      <w:pPr>
        <w:pStyle w:val="ListBullet"/>
        <w:spacing w:after="40"/>
      </w:pPr>
      <w:r>
        <w:rPr>
          <w:sz w:val="18"/>
        </w:rPr>
        <w:t>ALS-only and control-only matrices where support gates pass.</w:t>
      </w:r>
    </w:p>
    <w:p>
      <w:pPr>
        <w:pStyle w:val="ListBullet"/>
        <w:spacing w:after="40"/>
      </w:pPr>
      <w:r>
        <w:rPr>
          <w:sz w:val="18"/>
        </w:rPr>
        <w:t>ALS participant profiles adjusted for the common within-participant time slope.</w:t>
      </w:r>
    </w:p>
    <w:p>
      <w:pPr>
        <w:pStyle w:val="ListBullet"/>
        <w:spacing w:after="40"/>
      </w:pPr>
      <w:r>
        <w:rPr>
          <w:sz w:val="18"/>
        </w:rPr>
        <w:t>Raw values versus frozen monotonic transformations for rank-based structure.</w:t>
      </w:r>
    </w:p>
    <w:p>
      <w:pPr>
        <w:pStyle w:val="ListBullet"/>
        <w:spacing w:after="40"/>
      </w:pPr>
      <w:r>
        <w:rPr>
          <w:sz w:val="18"/>
        </w:rPr>
        <w:t>Signed QCHAN precursor values instead of truncated one-sided deficits.</w:t>
      </w:r>
    </w:p>
    <w:p>
      <w:pPr>
        <w:pStyle w:val="ListBullet"/>
        <w:spacing w:after="40"/>
      </w:pPr>
      <w:r>
        <w:rPr>
          <w:sz w:val="18"/>
        </w:rPr>
        <w:t>Random two-recording change correlations with one pair per participant per resample.</w:t>
      </w:r>
    </w:p>
    <w:p>
      <w:pPr>
        <w:pStyle w:val="ListBullet"/>
        <w:spacing w:after="40"/>
      </w:pPr>
      <w:r>
        <w:rPr>
          <w:sz w:val="18"/>
        </w:rPr>
        <w:t>Exclusion of conditionally available QREV outputs and restriction to core outputs.</w:t>
      </w:r>
    </w:p>
    <w:p>
      <w:pPr>
        <w:pStyle w:val="ListBullet"/>
        <w:spacing w:after="40"/>
      </w:pPr>
      <w:r>
        <w:rPr>
          <w:sz w:val="18"/>
        </w:rPr>
        <w:t>PCA with high-band deficit added and PCA with high-band deficit substituted for rolloff deficit.</w:t>
      </w:r>
    </w:p>
    <w:p>
      <w:pPr>
        <w:pStyle w:val="Heading1"/>
        <w:keepNext/>
      </w:pPr>
      <w:r>
        <w:t>8. Main and supplementary figure plan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720"/>
            <w:shd w:fill="1F4E79"/>
            <w:vAlign w:val="center"/>
            <w:tcMar>
              <w:top w:w="80" w:type="dxa"/>
              <w:start w:w="80" w:type="dxa"/>
              <w:bottom w:w="80" w:type="dxa"/>
              <w:end w:w="80" w:type="dxa"/>
            </w:tcMar>
          </w:tcPr>
          <w:p>
            <w:r>
              <w:rPr>
                <w:b/>
                <w:color w:val="FFFFFF"/>
                <w:sz w:val="16"/>
              </w:rPr>
              <w:t>Panel</w:t>
            </w:r>
          </w:p>
        </w:tc>
        <w:tc>
          <w:tcPr>
            <w:tcW w:type="dxa" w:w="3168"/>
            <w:shd w:fill="1F4E79"/>
            <w:vAlign w:val="center"/>
            <w:tcMar>
              <w:top w:w="80" w:type="dxa"/>
              <w:start w:w="80" w:type="dxa"/>
              <w:bottom w:w="80" w:type="dxa"/>
              <w:end w:w="80" w:type="dxa"/>
            </w:tcMar>
          </w:tcPr>
          <w:p>
            <w:r>
              <w:rPr>
                <w:b/>
                <w:color w:val="FFFFFF"/>
                <w:sz w:val="16"/>
              </w:rPr>
              <w:t>Display</w:t>
            </w:r>
          </w:p>
        </w:tc>
        <w:tc>
          <w:tcPr>
            <w:tcW w:type="dxa" w:w="3888"/>
            <w:shd w:fill="1F4E79"/>
            <w:vAlign w:val="center"/>
            <w:tcMar>
              <w:top w:w="80" w:type="dxa"/>
              <w:start w:w="80" w:type="dxa"/>
              <w:bottom w:w="80" w:type="dxa"/>
              <w:end w:w="80" w:type="dxa"/>
            </w:tcMar>
          </w:tcPr>
          <w:p>
            <w:r>
              <w:rPr>
                <w:b/>
                <w:color w:val="FFFFFF"/>
                <w:sz w:val="16"/>
              </w:rPr>
              <w:t>Scientific purpose</w:t>
            </w:r>
          </w:p>
        </w:tc>
        <w:tc>
          <w:tcPr>
            <w:tcW w:type="dxa" w:w="2880"/>
            <w:shd w:fill="1F4E79"/>
            <w:vAlign w:val="center"/>
            <w:tcMar>
              <w:top w:w="80" w:type="dxa"/>
              <w:start w:w="80" w:type="dxa"/>
              <w:bottom w:w="80" w:type="dxa"/>
              <w:end w:w="80" w:type="dxa"/>
            </w:tcMar>
          </w:tcPr>
          <w:p>
            <w:r>
              <w:rPr>
                <w:b/>
                <w:color w:val="FFFFFF"/>
                <w:sz w:val="16"/>
              </w:rPr>
              <w:t>Anti-crowding rule</w:t>
            </w:r>
          </w:p>
        </w:tc>
      </w:tr>
      <w:tr>
        <w:tc>
          <w:tcPr>
            <w:tcW w:type="dxa" w:w="720"/>
            <w:vAlign w:val="center"/>
            <w:tcMar>
              <w:top w:w="80" w:type="dxa"/>
              <w:start w:w="80" w:type="dxa"/>
              <w:bottom w:w="80" w:type="dxa"/>
              <w:end w:w="80" w:type="dxa"/>
            </w:tcMar>
          </w:tcPr>
          <w:p>
            <w:r>
              <w:rPr>
                <w:sz w:val="15"/>
              </w:rPr>
              <w:t>A</w:t>
            </w:r>
          </w:p>
        </w:tc>
        <w:tc>
          <w:tcPr>
            <w:tcW w:type="dxa" w:w="3168"/>
            <w:vAlign w:val="center"/>
            <w:tcMar>
              <w:top w:w="80" w:type="dxa"/>
              <w:start w:w="80" w:type="dxa"/>
              <w:bottom w:w="80" w:type="dxa"/>
              <w:end w:w="80" w:type="dxa"/>
            </w:tcMar>
          </w:tcPr>
          <w:p>
            <w:r>
              <w:rPr>
                <w:sz w:val="15"/>
              </w:rPr>
              <w:t>Between-participant 17 x 17 heatmap</w:t>
            </w:r>
          </w:p>
        </w:tc>
        <w:tc>
          <w:tcPr>
            <w:tcW w:type="dxa" w:w="3888"/>
            <w:vAlign w:val="center"/>
            <w:tcMar>
              <w:top w:w="80" w:type="dxa"/>
              <w:start w:w="80" w:type="dxa"/>
              <w:bottom w:w="80" w:type="dxa"/>
              <w:end w:w="80" w:type="dxa"/>
            </w:tcMar>
          </w:tcPr>
          <w:p>
            <w:r>
              <w:rPr>
                <w:sz w:val="15"/>
              </w:rPr>
              <w:t>Persistent profile structure.</w:t>
            </w:r>
          </w:p>
        </w:tc>
        <w:tc>
          <w:tcPr>
            <w:tcW w:type="dxa" w:w="2880"/>
            <w:vAlign w:val="center"/>
            <w:tcMar>
              <w:top w:w="80" w:type="dxa"/>
              <w:start w:w="80" w:type="dxa"/>
              <w:bottom w:w="80" w:type="dxa"/>
              <w:end w:w="80" w:type="dxa"/>
            </w:tcMar>
          </w:tcPr>
          <w:p>
            <w:r>
              <w:rPr>
                <w:sz w:val="15"/>
              </w:rPr>
              <w:t>Feature codes only; no numbers inside cells; family separators and one shared color scale.</w:t>
            </w:r>
          </w:p>
        </w:tc>
      </w:tr>
      <w:tr>
        <w:tc>
          <w:tcPr>
            <w:tcW w:type="dxa" w:w="720"/>
            <w:vAlign w:val="center"/>
            <w:tcMar>
              <w:top w:w="80" w:type="dxa"/>
              <w:start w:w="80" w:type="dxa"/>
              <w:bottom w:w="80" w:type="dxa"/>
              <w:end w:w="80" w:type="dxa"/>
            </w:tcMar>
            <w:shd w:fill="EAF2F8"/>
          </w:tcPr>
          <w:p>
            <w:r>
              <w:rPr>
                <w:sz w:val="15"/>
              </w:rPr>
              <w:t>B</w:t>
            </w:r>
          </w:p>
        </w:tc>
        <w:tc>
          <w:tcPr>
            <w:tcW w:type="dxa" w:w="3168"/>
            <w:vAlign w:val="center"/>
            <w:tcMar>
              <w:top w:w="80" w:type="dxa"/>
              <w:start w:w="80" w:type="dxa"/>
              <w:bottom w:w="80" w:type="dxa"/>
              <w:end w:w="80" w:type="dxa"/>
            </w:tcMar>
            <w:shd w:fill="EAF2F8"/>
          </w:tcPr>
          <w:p>
            <w:r>
              <w:rPr>
                <w:sz w:val="15"/>
              </w:rPr>
              <w:t>Within-participant 17 x 17 heatmap</w:t>
            </w:r>
          </w:p>
        </w:tc>
        <w:tc>
          <w:tcPr>
            <w:tcW w:type="dxa" w:w="3888"/>
            <w:vAlign w:val="center"/>
            <w:tcMar>
              <w:top w:w="80" w:type="dxa"/>
              <w:start w:w="80" w:type="dxa"/>
              <w:bottom w:w="80" w:type="dxa"/>
              <w:end w:w="80" w:type="dxa"/>
            </w:tcMar>
            <w:shd w:fill="EAF2F8"/>
          </w:tcPr>
          <w:p>
            <w:r>
              <w:rPr>
                <w:sz w:val="15"/>
              </w:rPr>
              <w:t>Session-level co-variation.</w:t>
            </w:r>
          </w:p>
        </w:tc>
        <w:tc>
          <w:tcPr>
            <w:tcW w:type="dxa" w:w="2880"/>
            <w:vAlign w:val="center"/>
            <w:tcMar>
              <w:top w:w="80" w:type="dxa"/>
              <w:start w:w="80" w:type="dxa"/>
              <w:bottom w:w="80" w:type="dxa"/>
              <w:end w:w="80" w:type="dxa"/>
            </w:tcMar>
            <w:shd w:fill="EAF2F8"/>
          </w:tcPr>
          <w:p>
            <w:r>
              <w:rPr>
                <w:sz w:val="15"/>
              </w:rPr>
              <w:t>Identical order and geometry to Panel A; unsupported cells remain gray.</w:t>
            </w:r>
          </w:p>
        </w:tc>
      </w:tr>
      <w:tr>
        <w:tc>
          <w:tcPr>
            <w:tcW w:type="dxa" w:w="720"/>
            <w:vAlign w:val="center"/>
            <w:tcMar>
              <w:top w:w="80" w:type="dxa"/>
              <w:start w:w="80" w:type="dxa"/>
              <w:bottom w:w="80" w:type="dxa"/>
              <w:end w:w="80" w:type="dxa"/>
            </w:tcMar>
          </w:tcPr>
          <w:p>
            <w:r>
              <w:rPr>
                <w:sz w:val="15"/>
              </w:rPr>
              <w:t>C</w:t>
            </w:r>
          </w:p>
        </w:tc>
        <w:tc>
          <w:tcPr>
            <w:tcW w:type="dxa" w:w="3168"/>
            <w:vAlign w:val="center"/>
            <w:tcMar>
              <w:top w:w="80" w:type="dxa"/>
              <w:start w:w="80" w:type="dxa"/>
              <w:bottom w:w="80" w:type="dxa"/>
              <w:end w:w="80" w:type="dxa"/>
            </w:tcMar>
          </w:tcPr>
          <w:p>
            <w:r>
              <w:rPr>
                <w:sz w:val="15"/>
              </w:rPr>
              <w:t>Between-versus-within pair scatter</w:t>
            </w:r>
          </w:p>
        </w:tc>
        <w:tc>
          <w:tcPr>
            <w:tcW w:type="dxa" w:w="3888"/>
            <w:vAlign w:val="center"/>
            <w:tcMar>
              <w:top w:w="80" w:type="dxa"/>
              <w:start w:w="80" w:type="dxa"/>
              <w:bottom w:w="80" w:type="dxa"/>
              <w:end w:w="80" w:type="dxa"/>
            </w:tcMar>
          </w:tcPr>
          <w:p>
            <w:r>
              <w:rPr>
                <w:sz w:val="15"/>
              </w:rPr>
              <w:t>Shows persistent-only, session-only, and shared relationships.</w:t>
            </w:r>
          </w:p>
        </w:tc>
        <w:tc>
          <w:tcPr>
            <w:tcW w:type="dxa" w:w="2880"/>
            <w:vAlign w:val="center"/>
            <w:tcMar>
              <w:top w:w="80" w:type="dxa"/>
              <w:start w:w="80" w:type="dxa"/>
              <w:bottom w:w="80" w:type="dxa"/>
              <w:end w:w="80" w:type="dxa"/>
            </w:tcMar>
          </w:tcPr>
          <w:p>
            <w:r>
              <w:t>No point labels; pair class uses marker geometry. Exact family-contrast estimates remain in source tables and the supplementary permutation figure.</w:t>
            </w:r>
          </w:p>
        </w:tc>
      </w:tr>
      <w:tr>
        <w:tc>
          <w:tcPr>
            <w:tcW w:type="dxa" w:w="720"/>
            <w:vAlign w:val="center"/>
            <w:tcMar>
              <w:top w:w="80" w:type="dxa"/>
              <w:start w:w="80" w:type="dxa"/>
              <w:bottom w:w="80" w:type="dxa"/>
              <w:end w:w="80" w:type="dxa"/>
            </w:tcMar>
            <w:shd w:fill="EAF2F8"/>
          </w:tcPr>
          <w:p>
            <w:r>
              <w:rPr>
                <w:sz w:val="15"/>
              </w:rPr>
              <w:t>D</w:t>
            </w:r>
          </w:p>
        </w:tc>
        <w:tc>
          <w:tcPr>
            <w:tcW w:type="dxa" w:w="3168"/>
            <w:vAlign w:val="center"/>
            <w:tcMar>
              <w:top w:w="80" w:type="dxa"/>
              <w:start w:w="80" w:type="dxa"/>
              <w:bottom w:w="80" w:type="dxa"/>
              <w:end w:w="80" w:type="dxa"/>
            </w:tcMar>
            <w:shd w:fill="EAF2F8"/>
          </w:tcPr>
          <w:p>
            <w:r>
              <w:rPr>
                <w:sz w:val="15"/>
              </w:rPr>
              <w:t>Between/within scree curves and parallel thresholds</w:t>
            </w:r>
          </w:p>
        </w:tc>
        <w:tc>
          <w:tcPr>
            <w:tcW w:type="dxa" w:w="3888"/>
            <w:vAlign w:val="center"/>
            <w:tcMar>
              <w:top w:w="80" w:type="dxa"/>
              <w:start w:w="80" w:type="dxa"/>
              <w:bottom w:w="80" w:type="dxa"/>
              <w:end w:w="80" w:type="dxa"/>
            </w:tcMar>
            <w:shd w:fill="EAF2F8"/>
          </w:tcPr>
          <w:p>
            <w:r>
              <w:rPr>
                <w:sz w:val="15"/>
              </w:rPr>
              <w:t>Dimensionality at each level.</w:t>
            </w:r>
          </w:p>
        </w:tc>
        <w:tc>
          <w:tcPr>
            <w:tcW w:type="dxa" w:w="2880"/>
            <w:vAlign w:val="center"/>
            <w:tcMar>
              <w:top w:w="80" w:type="dxa"/>
              <w:start w:w="80" w:type="dxa"/>
              <w:bottom w:w="80" w:type="dxa"/>
              <w:end w:w="80" w:type="dxa"/>
            </w:tcMar>
            <w:shd w:fill="EAF2F8"/>
          </w:tcPr>
          <w:p>
            <w:r>
              <w:rPr>
                <w:sz w:val="15"/>
              </w:rPr>
              <w:t>One compact axis; no component interpretation in the plot.</w:t>
            </w:r>
          </w:p>
        </w:tc>
      </w:tr>
      <w:tr>
        <w:tc>
          <w:tcPr>
            <w:tcW w:type="dxa" w:w="720"/>
            <w:vAlign w:val="center"/>
            <w:tcMar>
              <w:top w:w="80" w:type="dxa"/>
              <w:start w:w="80" w:type="dxa"/>
              <w:bottom w:w="80" w:type="dxa"/>
              <w:end w:w="80" w:type="dxa"/>
            </w:tcMar>
          </w:tcPr>
          <w:p>
            <w:r>
              <w:rPr>
                <w:sz w:val="15"/>
              </w:rPr>
              <w:t>E-F</w:t>
            </w:r>
          </w:p>
        </w:tc>
        <w:tc>
          <w:tcPr>
            <w:tcW w:type="dxa" w:w="3168"/>
            <w:vAlign w:val="center"/>
            <w:tcMar>
              <w:top w:w="80" w:type="dxa"/>
              <w:start w:w="80" w:type="dxa"/>
              <w:bottom w:w="80" w:type="dxa"/>
              <w:end w:w="80" w:type="dxa"/>
            </w:tcMar>
          </w:tcPr>
          <w:p>
            <w:r>
              <w:rPr>
                <w:sz w:val="15"/>
              </w:rPr>
              <w:t>Loading heatmaps for retained stable components</w:t>
            </w:r>
          </w:p>
        </w:tc>
        <w:tc>
          <w:tcPr>
            <w:tcW w:type="dxa" w:w="3888"/>
            <w:vAlign w:val="center"/>
            <w:tcMar>
              <w:top w:w="80" w:type="dxa"/>
              <w:start w:w="80" w:type="dxa"/>
              <w:bottom w:w="80" w:type="dxa"/>
              <w:end w:w="80" w:type="dxa"/>
            </w:tcMar>
          </w:tcPr>
          <w:p>
            <w:r>
              <w:rPr>
                <w:sz w:val="15"/>
              </w:rPr>
              <w:t>Which observables define each stable axis.</w:t>
            </w:r>
          </w:p>
        </w:tc>
        <w:tc>
          <w:tcPr>
            <w:tcW w:type="dxa" w:w="2880"/>
            <w:vAlign w:val="center"/>
            <w:tcMar>
              <w:top w:w="80" w:type="dxa"/>
              <w:start w:w="80" w:type="dxa"/>
              <w:bottom w:w="80" w:type="dxa"/>
              <w:end w:w="80" w:type="dxa"/>
            </w:tcMar>
          </w:tcPr>
          <w:p>
            <w:r>
              <w:rPr>
                <w:sz w:val="15"/>
              </w:rPr>
              <w:t>Eight PCA feature codes only; separate between and within panels.</w:t>
            </w:r>
          </w:p>
        </w:tc>
      </w:tr>
    </w:tbl>
    <w:p/>
    <w:p>
      <w:r>
        <w:t>A compact four-column feature key is placed below the analytical panels. Full names, confidence intervals, support counts, and classifications remain in source tables and supplementary figures. The main figure is exported as PNG, SVG, and PDF with a deterministic layout audit.</w:t>
      </w:r>
    </w:p>
    <w:p>
      <w:pPr>
        <w:pStyle w:val="Heading1"/>
        <w:keepNext/>
      </w:pPr>
      <w:r>
        <w:t>9. Required outputs and completion criteria</w:t>
      </w:r>
    </w:p>
    <w:p>
      <w:pPr>
        <w:pStyle w:val="ListBullet"/>
        <w:spacing w:after="40"/>
      </w:pPr>
      <w:r>
        <w:rPr>
          <w:sz w:val="18"/>
        </w:rPr>
        <w:t>Feature eligibility and pair-support audits.</w:t>
      </w:r>
    </w:p>
    <w:p>
      <w:pPr>
        <w:pStyle w:val="ListBullet"/>
        <w:spacing w:after="40"/>
      </w:pPr>
      <w:r>
        <w:rPr>
          <w:sz w:val="18"/>
        </w:rPr>
        <w:t>Between- and within-participant matrices with participant-bootstrap confidence intervals and success rates.</w:t>
      </w:r>
    </w:p>
    <w:p>
      <w:pPr>
        <w:pStyle w:val="ListBullet"/>
        <w:spacing w:after="40"/>
      </w:pPr>
      <w:r>
        <w:rPr>
          <w:sz w:val="18"/>
        </w:rPr>
        <w:t>Relationship classification and explicit same-ledger flags.</w:t>
      </w:r>
    </w:p>
    <w:p>
      <w:pPr>
        <w:pStyle w:val="ListBullet"/>
        <w:spacing w:after="40"/>
      </w:pPr>
      <w:r>
        <w:rPr>
          <w:sz w:val="18"/>
        </w:rPr>
        <w:t>Family contrast with bootstrap interval and permutation sensitivity.</w:t>
      </w:r>
    </w:p>
    <w:p>
      <w:pPr>
        <w:pStyle w:val="ListBullet"/>
        <w:spacing w:after="40"/>
      </w:pPr>
      <w:r>
        <w:rPr>
          <w:sz w:val="18"/>
        </w:rPr>
        <w:t>PCA complete-case audit, parallel thresholds, component stability, loadings, and sensitivity sets.</w:t>
      </w:r>
    </w:p>
    <w:p>
      <w:pPr>
        <w:pStyle w:val="ListBullet"/>
        <w:spacing w:after="40"/>
      </w:pPr>
      <w:r>
        <w:rPr>
          <w:sz w:val="18"/>
        </w:rPr>
        <w:t>One main publication figure, four supplementary figures, and source CSV for every panel.</w:t>
      </w:r>
    </w:p>
    <w:p>
      <w:pPr>
        <w:pStyle w:val="ListBullet"/>
        <w:spacing w:after="40"/>
      </w:pPr>
      <w:r>
        <w:rPr>
          <w:sz w:val="18"/>
        </w:rPr>
        <w:t>Input/output hashes, software versions, seeds, run configuration, and interpretation guardrails.</w:t>
      </w:r>
    </w:p>
    <w:p>
      <w:pPr>
        <w:pStyle w:val="ListBullet"/>
        <w:spacing w:after="40"/>
      </w:pPr>
      <w:r>
        <w:rPr>
          <w:sz w:val="18"/>
        </w:rPr>
        <w:t>The final run is accepted only if all population, support, PCA, output, and guardrail checks pass.</w:t>
      </w:r>
    </w:p>
    <w:p>
      <w:pPr>
        <w:pStyle w:val="Heading1"/>
        <w:keepNext/>
      </w:pPr>
      <w:r>
        <w:t>10. Notebook implementation order</w:t>
      </w:r>
    </w:p>
    <w:p>
      <w:pPr>
        <w:spacing w:before="40" w:after="0" w:line="252" w:lineRule="auto"/>
      </w:pPr>
      <w:r>
        <w:rPr>
          <w:sz w:val="18"/>
        </w:rPr>
        <w:t>1. Freeze and audit inputs, transformations, eligibility, pair support, and PCA support.  2. Estimate between- and within-participant structure with participant bootstrap uncertainty.  3. Evaluate family organization after excluding governed same-ledger pairs.  4. Run multilevel PCA, prespecified sensitivities, publication figures, and final completion checks. No estimate is interpreted before its support and guardrail checks pass.</w:t>
      </w:r>
    </w:p>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57575"/>
        <w:sz w:val="14"/>
      </w:rPr>
      <w:t>Goal 2 frozen plan | Multidimensional recording-quality 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