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142B4A"/>
          <w:sz w:val="48"/>
        </w:rPr>
        <w:t>Qadd: Additive Interference</w:t>
      </w:r>
    </w:p>
    <w:p>
      <w:pPr>
        <w:pStyle w:val="Subtitle"/>
      </w:pPr>
      <w:r>
        <w:rPr>
          <w:rFonts w:ascii="Calibri" w:hAnsi="Calibri"/>
          <w:i/>
          <w:color w:val="566573"/>
          <w:sz w:val="25"/>
        </w:rPr>
        <w:t>Literature-grounded scientific measurement specification for Paper 1</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Version</w:t>
            </w:r>
          </w:p>
        </w:tc>
        <w:tc>
          <w:tcPr>
            <w:tcW w:type="dxa" w:w="746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2.0 — proposed freeze before notebook implementation</w:t>
            </w:r>
          </w:p>
        </w:tc>
      </w:tr>
      <w:tr>
        <w:tc>
          <w:tcPr>
            <w:tcW w:type="dxa" w:w="190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Scope</w:t>
            </w:r>
          </w:p>
        </w:tc>
        <w:tc>
          <w:tcPr>
            <w:tcW w:type="dxa" w:w="746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Remote Bamboo passage recordings; ALS and controls; reviewed segmentation</w:t>
            </w:r>
          </w:p>
        </w:tc>
      </w:tr>
      <w:tr>
        <w:tc>
          <w:tcPr>
            <w:tcW w:type="dxa" w:w="190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Primary construct</w:t>
            </w:r>
          </w:p>
        </w:tc>
        <w:tc>
          <w:tcPr>
            <w:tcW w:type="dxa" w:w="746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Observable additive contamination during target-speech acquisition</w:t>
            </w:r>
          </w:p>
        </w:tc>
      </w:tr>
      <w:tr>
        <w:tc>
          <w:tcPr>
            <w:tcW w:type="dxa" w:w="190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Date</w:t>
            </w:r>
          </w:p>
        </w:tc>
        <w:tc>
          <w:tcPr>
            <w:tcW w:type="dxa" w:w="746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27 July 2026</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vAlign w:val="center"/>
            <w:shd w:fill="EAF4EA"/>
          </w:tcPr>
          <w:p>
            <w:pPr>
              <w:spacing w:after="60"/>
            </w:pPr>
            <w:r>
              <w:rPr>
                <w:rFonts w:ascii="Calibri" w:hAnsi="Calibri"/>
                <w:b/>
                <w:color w:val="142B4A"/>
                <w:sz w:val="22"/>
              </w:rPr>
              <w:t>Scientific decision</w:t>
            </w:r>
          </w:p>
          <w:p>
            <w:pPr>
              <w:spacing w:after="0" w:line="276" w:lineRule="auto"/>
            </w:pPr>
            <w:r>
              <w:rPr>
                <w:rFonts w:ascii="Calibri" w:hAnsi="Calibri"/>
                <w:color w:val="111111"/>
                <w:sz w:val="20"/>
              </w:rPr>
              <w:t>Do not define Qadd as one unvalidated scalar. Treat it as a prespecified vector of mechanistically distinct indicators: background level, speech–background separation, nonstationary upper-tail energy, tonal hum, and—only after separate validation—non-target speech. Four features are confirmatory; descriptors and model-based features are secondary or exploratory. This prevents a visually tidy but scientifically incoherent composite.</w:t>
            </w:r>
          </w:p>
        </w:tc>
      </w:tr>
    </w:tbl>
    <w:p>
      <w:pPr>
        <w:spacing w:after="0"/>
      </w:pPr>
    </w:p>
    <w:p>
      <w:pPr>
        <w:pStyle w:val="Heading1"/>
      </w:pPr>
      <w:r>
        <w:t>1. What Qadd can—and cannot—measure</w:t>
      </w:r>
    </w:p>
    <w:p>
      <w:r>
        <w:t>For a single remote microphone, the observed waveform is better represented as x(t) = h{g(t)[s(t) + n(t)]} + e(t), where s(t) is target speech, n(t) is additive acoustic interference, g(t) includes gain or automatic gain control, h{·} is the device/channel response, and e(t) includes encoding and quantization effects. Qadd therefore cannot identify a physical source or recover calibrated sound-pressure level without a reference microphone and calibration. It estimates evidence consistent with additive contamination in the recorded digital signal.</w:t>
      </w:r>
    </w:p>
    <w:p>
      <w:r>
        <w:t>Speech pauses are scientifically useful because speech-absent intervals are routinely used for noise estimation, but they are not ground-truth room noise. They can contain breathing, mouth sounds, chair movement, VAD leakage, and device noise. Noise-estimation methods based on pauses or spectral minima therefore motivate the approach while also making VAD uncertainty a required validation target [6,7].</w:t>
      </w:r>
    </w:p>
    <w:tbl>
      <w:tblPr>
        <w:tblW w:type="dxa" w:w="9360"/>
        <w:jc w:val="left"/>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vAlign w:val="center"/>
            <w:shd w:fill="FFF4D6"/>
          </w:tcPr>
          <w:p>
            <w:pPr>
              <w:spacing w:after="60"/>
            </w:pPr>
            <w:r>
              <w:rPr>
                <w:rFonts w:ascii="Calibri" w:hAnsi="Calibri"/>
                <w:b/>
                <w:color w:val="142B4A"/>
                <w:sz w:val="22"/>
              </w:rPr>
              <w:t>Critical ALS constraint</w:t>
            </w:r>
          </w:p>
          <w:p>
            <w:pPr>
              <w:spacing w:after="0" w:line="276" w:lineRule="auto"/>
            </w:pPr>
            <w:r>
              <w:rPr>
                <w:rFonts w:ascii="Calibri" w:hAnsi="Calibri"/>
                <w:color w:val="111111"/>
                <w:sz w:val="20"/>
              </w:rPr>
              <w:t>Pause behavior and speech intensity can carry disease information. ALS passage pause measures have been associated with respiratory status [13]. Accordingly, speech–pause contrast is a quality proxy, not pure SNR, and diagnosis/severity must never be used to define quality labels or thresholds. Feature–clinical associations are reported as possible confounding, not evidence that low quality causes disease severity.</w:t>
            </w:r>
          </w:p>
        </w:tc>
      </w:tr>
    </w:tbl>
    <w:p>
      <w:pPr>
        <w:spacing w:after="0"/>
      </w:pPr>
    </w:p>
    <w:p>
      <w:pPr>
        <w:pStyle w:val="Heading1"/>
      </w:pPr>
      <w:r>
        <w:t>2. Final feature registry</w:t>
      </w:r>
    </w:p>
    <w:p>
      <w:r>
        <w:t>The registry below is the planned analysis hierarchy. “Confirmatory” means the feature and direction are frozen before examining perceptual-alignment results. It does not mean the feature is already validated in this cohort.</w:t>
      </w:r>
    </w:p>
    <w:tbl>
      <w:tblPr>
        <w:tblW w:type="dxa" w:w="9360"/>
        <w:jc w:val="left"/>
        <w:tblLayout w:type="fixed"/>
        <w:tblLook w:firstColumn="1" w:firstRow="1" w:lastColumn="0" w:lastRow="0" w:noHBand="0" w:noVBand="1" w:val="04A0"/>
        <w:tblInd w:w="120" w:type="dxa"/>
      </w:tblPr>
      <w:tblGrid>
        <w:gridCol w:w="2920"/>
        <w:gridCol w:w="1420"/>
        <w:gridCol w:w="1420"/>
        <w:gridCol w:w="3600"/>
      </w:tblGrid>
      <w:tr>
        <w:trPr>
          <w:tblHeader w:val="true"/>
        </w:trPr>
        <w:tc>
          <w:tcPr>
            <w:tcW w:type="dxa" w:w="2920"/>
            <w:tcMar>
              <w:top w:w="90" w:type="dxa"/>
              <w:start w:w="120" w:type="dxa"/>
              <w:bottom w:w="90" w:type="dxa"/>
              <w:end w:w="120" w:type="dxa"/>
            </w:tcMar>
            <w:vAlign w:val="center"/>
            <w:shd w:fill="142B4A"/>
          </w:tcPr>
          <w:p>
            <w:pPr>
              <w:spacing w:before="0" w:after="0" w:line="252" w:lineRule="auto"/>
              <w:jc w:val="left"/>
            </w:pPr>
            <w:r/>
            <w:r>
              <w:rPr>
                <w:rFonts w:ascii="Calibri" w:hAnsi="Calibri"/>
                <w:b/>
                <w:color w:val="FFFFFF"/>
                <w:sz w:val="18"/>
              </w:rPr>
              <w:t>Feature</w:t>
            </w:r>
          </w:p>
        </w:tc>
        <w:tc>
          <w:tcPr>
            <w:tcW w:type="dxa" w:w="1420"/>
            <w:tcMar>
              <w:top w:w="90" w:type="dxa"/>
              <w:start w:w="120" w:type="dxa"/>
              <w:bottom w:w="90" w:type="dxa"/>
              <w:end w:w="120" w:type="dxa"/>
            </w:tcMar>
            <w:vAlign w:val="center"/>
            <w:shd w:fill="142B4A"/>
          </w:tcPr>
          <w:p>
            <w:pPr>
              <w:spacing w:before="0" w:after="0" w:line="252" w:lineRule="auto"/>
              <w:jc w:val="center"/>
            </w:pPr>
            <w:r/>
            <w:r>
              <w:rPr>
                <w:rFonts w:ascii="Calibri" w:hAnsi="Calibri"/>
                <w:b/>
                <w:color w:val="FFFFFF"/>
                <w:sz w:val="18"/>
              </w:rPr>
              <w:t>Tier</w:t>
            </w:r>
          </w:p>
        </w:tc>
        <w:tc>
          <w:tcPr>
            <w:tcW w:type="dxa" w:w="1420"/>
            <w:tcMar>
              <w:top w:w="90" w:type="dxa"/>
              <w:start w:w="120" w:type="dxa"/>
              <w:bottom w:w="90" w:type="dxa"/>
              <w:end w:w="120" w:type="dxa"/>
            </w:tcMar>
            <w:vAlign w:val="center"/>
            <w:shd w:fill="142B4A"/>
          </w:tcPr>
          <w:p>
            <w:pPr>
              <w:spacing w:before="0" w:after="0" w:line="252" w:lineRule="auto"/>
              <w:jc w:val="center"/>
            </w:pPr>
            <w:r/>
            <w:r>
              <w:rPr>
                <w:rFonts w:ascii="Calibri" w:hAnsi="Calibri"/>
                <w:b/>
                <w:color w:val="FFFFFF"/>
                <w:sz w:val="18"/>
              </w:rPr>
              <w:t>Worse quality</w:t>
            </w:r>
          </w:p>
        </w:tc>
        <w:tc>
          <w:tcPr>
            <w:tcW w:type="dxa" w:w="3600"/>
            <w:tcMar>
              <w:top w:w="90" w:type="dxa"/>
              <w:start w:w="120" w:type="dxa"/>
              <w:bottom w:w="90" w:type="dxa"/>
              <w:end w:w="120" w:type="dxa"/>
            </w:tcMar>
            <w:vAlign w:val="center"/>
            <w:shd w:fill="142B4A"/>
          </w:tcPr>
          <w:p>
            <w:pPr>
              <w:spacing w:before="0" w:after="0" w:line="252" w:lineRule="auto"/>
              <w:jc w:val="left"/>
            </w:pPr>
            <w:r/>
            <w:r>
              <w:rPr>
                <w:rFonts w:ascii="Calibri" w:hAnsi="Calibri"/>
                <w:b/>
                <w:color w:val="FFFFFF"/>
                <w:sz w:val="18"/>
              </w:rPr>
              <w:t>Decision</w:t>
            </w:r>
          </w:p>
        </w:tc>
      </w:tr>
      <w:tr>
        <w:trPr>
          <w:cantSplit/>
        </w:trPr>
        <w:tc>
          <w:tcPr>
            <w:tcW w:type="dxa" w:w="2920"/>
            <w:shd w:fill="FFFFFF"/>
          </w:tcPr>
          <w:p>
            <w:pPr>
              <w:spacing w:before="0" w:after="0" w:line="252" w:lineRule="auto"/>
              <w:jc w:val="left"/>
            </w:pPr>
            <w:r/>
            <w:r>
              <w:rPr>
                <w:rFonts w:ascii="Calibri" w:hAnsi="Calibri"/>
                <w:b w:val="0"/>
                <w:color w:val="111111"/>
                <w:sz w:val="17"/>
              </w:rPr>
              <w:t>qadd_pause_level_dbfs_median</w:t>
            </w:r>
          </w:p>
        </w:tc>
        <w:tc>
          <w:tcPr>
            <w:tcW w:type="dxa" w:w="1420"/>
            <w:shd w:fill="FFFFFF"/>
          </w:tcPr>
          <w:p>
            <w:pPr>
              <w:spacing w:before="0" w:after="0" w:line="252" w:lineRule="auto"/>
              <w:jc w:val="center"/>
            </w:pPr>
            <w:r/>
            <w:r>
              <w:rPr>
                <w:rFonts w:ascii="Calibri" w:hAnsi="Calibri"/>
                <w:b w:val="0"/>
                <w:color w:val="111111"/>
                <w:sz w:val="17"/>
              </w:rPr>
              <w:t>Primary</w:t>
            </w:r>
          </w:p>
        </w:tc>
        <w:tc>
          <w:tcPr>
            <w:tcW w:type="dxa" w:w="1420"/>
            <w:shd w:fill="FFFFFF"/>
          </w:tcPr>
          <w:p>
            <w:pPr>
              <w:spacing w:before="0" w:after="0" w:line="252" w:lineRule="auto"/>
              <w:jc w:val="center"/>
            </w:pPr>
            <w:r/>
            <w:r>
              <w:rPr>
                <w:rFonts w:ascii="Calibri" w:hAnsi="Calibri"/>
                <w:b w:val="0"/>
                <w:color w:val="111111"/>
                <w:sz w:val="17"/>
              </w:rPr>
              <w:t>Higher</w:t>
            </w:r>
          </w:p>
        </w:tc>
        <w:tc>
          <w:tcPr>
            <w:tcW w:type="dxa" w:w="3600"/>
            <w:shd w:fill="FFFFFF"/>
          </w:tcPr>
          <w:p>
            <w:pPr>
              <w:spacing w:before="0" w:after="0" w:line="252" w:lineRule="auto"/>
              <w:jc w:val="left"/>
            </w:pPr>
            <w:r/>
            <w:r>
              <w:rPr>
                <w:rFonts w:ascii="Calibri" w:hAnsi="Calibri"/>
                <w:b w:val="0"/>
                <w:color w:val="111111"/>
                <w:sz w:val="17"/>
              </w:rPr>
              <w:t>Retain; general background-energy indicator</w:t>
            </w:r>
          </w:p>
        </w:tc>
      </w:tr>
      <w:tr>
        <w:trPr>
          <w:cantSplit/>
        </w:trPr>
        <w:tc>
          <w:tcPr>
            <w:tcW w:type="dxa" w:w="2920"/>
            <w:shd w:fill="F2F4F7"/>
          </w:tcPr>
          <w:p>
            <w:pPr>
              <w:spacing w:before="0" w:after="0" w:line="252" w:lineRule="auto"/>
              <w:jc w:val="left"/>
            </w:pPr>
            <w:r/>
            <w:r>
              <w:rPr>
                <w:rFonts w:ascii="Calibri" w:hAnsi="Calibri"/>
                <w:b w:val="0"/>
                <w:color w:val="111111"/>
                <w:sz w:val="17"/>
              </w:rPr>
              <w:t>qadd_speech_pause_contrast_db</w:t>
            </w:r>
          </w:p>
        </w:tc>
        <w:tc>
          <w:tcPr>
            <w:tcW w:type="dxa" w:w="1420"/>
            <w:shd w:fill="F2F4F7"/>
          </w:tcPr>
          <w:p>
            <w:pPr>
              <w:spacing w:before="0" w:after="0" w:line="252" w:lineRule="auto"/>
              <w:jc w:val="center"/>
            </w:pPr>
            <w:r/>
            <w:r>
              <w:rPr>
                <w:rFonts w:ascii="Calibri" w:hAnsi="Calibri"/>
                <w:b w:val="0"/>
                <w:color w:val="111111"/>
                <w:sz w:val="17"/>
              </w:rPr>
              <w:t>Primary</w:t>
            </w:r>
          </w:p>
        </w:tc>
        <w:tc>
          <w:tcPr>
            <w:tcW w:type="dxa" w:w="1420"/>
            <w:shd w:fill="F2F4F7"/>
          </w:tcPr>
          <w:p>
            <w:pPr>
              <w:spacing w:before="0" w:after="0" w:line="252" w:lineRule="auto"/>
              <w:jc w:val="center"/>
            </w:pPr>
            <w:r/>
            <w:r>
              <w:rPr>
                <w:rFonts w:ascii="Calibri" w:hAnsi="Calibri"/>
                <w:b w:val="0"/>
                <w:color w:val="111111"/>
                <w:sz w:val="17"/>
              </w:rPr>
              <w:t>Lower</w:t>
            </w:r>
          </w:p>
        </w:tc>
        <w:tc>
          <w:tcPr>
            <w:tcW w:type="dxa" w:w="3600"/>
            <w:shd w:fill="F2F4F7"/>
          </w:tcPr>
          <w:p>
            <w:pPr>
              <w:spacing w:before="0" w:after="0" w:line="252" w:lineRule="auto"/>
              <w:jc w:val="left"/>
            </w:pPr>
            <w:r/>
            <w:r>
              <w:rPr>
                <w:rFonts w:ascii="Calibri" w:hAnsi="Calibri"/>
                <w:b w:val="0"/>
                <w:color w:val="111111"/>
                <w:sz w:val="17"/>
              </w:rPr>
              <w:t>Retain; rename from SNR proxy</w:t>
            </w:r>
          </w:p>
        </w:tc>
      </w:tr>
      <w:tr>
        <w:trPr>
          <w:cantSplit/>
        </w:trPr>
        <w:tc>
          <w:tcPr>
            <w:tcW w:type="dxa" w:w="2920"/>
            <w:shd w:fill="FFFFFF"/>
          </w:tcPr>
          <w:p>
            <w:pPr>
              <w:spacing w:before="0" w:after="0" w:line="252" w:lineRule="auto"/>
              <w:jc w:val="left"/>
            </w:pPr>
            <w:r/>
            <w:r>
              <w:rPr>
                <w:rFonts w:ascii="Calibri" w:hAnsi="Calibri"/>
                <w:b w:val="0"/>
                <w:color w:val="111111"/>
                <w:sz w:val="17"/>
              </w:rPr>
              <w:t>qadd_pause_upper_tail_db</w:t>
            </w:r>
          </w:p>
        </w:tc>
        <w:tc>
          <w:tcPr>
            <w:tcW w:type="dxa" w:w="1420"/>
            <w:shd w:fill="FFFFFF"/>
          </w:tcPr>
          <w:p>
            <w:pPr>
              <w:spacing w:before="0" w:after="0" w:line="252" w:lineRule="auto"/>
              <w:jc w:val="center"/>
            </w:pPr>
            <w:r/>
            <w:r>
              <w:rPr>
                <w:rFonts w:ascii="Calibri" w:hAnsi="Calibri"/>
                <w:b w:val="0"/>
                <w:color w:val="111111"/>
                <w:sz w:val="17"/>
              </w:rPr>
              <w:t>Primary</w:t>
            </w:r>
          </w:p>
        </w:tc>
        <w:tc>
          <w:tcPr>
            <w:tcW w:type="dxa" w:w="1420"/>
            <w:shd w:fill="FFFFFF"/>
          </w:tcPr>
          <w:p>
            <w:pPr>
              <w:spacing w:before="0" w:after="0" w:line="252" w:lineRule="auto"/>
              <w:jc w:val="center"/>
            </w:pPr>
            <w:r/>
            <w:r>
              <w:rPr>
                <w:rFonts w:ascii="Calibri" w:hAnsi="Calibri"/>
                <w:b w:val="0"/>
                <w:color w:val="111111"/>
                <w:sz w:val="17"/>
              </w:rPr>
              <w:t>Higher</w:t>
            </w:r>
          </w:p>
        </w:tc>
        <w:tc>
          <w:tcPr>
            <w:tcW w:type="dxa" w:w="3600"/>
            <w:shd w:fill="FFFFFF"/>
          </w:tcPr>
          <w:p>
            <w:pPr>
              <w:spacing w:before="0" w:after="0" w:line="252" w:lineRule="auto"/>
              <w:jc w:val="left"/>
            </w:pPr>
            <w:r/>
            <w:r>
              <w:rPr>
                <w:rFonts w:ascii="Calibri" w:hAnsi="Calibri"/>
                <w:b w:val="0"/>
                <w:color w:val="111111"/>
                <w:sz w:val="17"/>
              </w:rPr>
              <w:t>Add; robust nonstationary/burst indicator</w:t>
            </w:r>
          </w:p>
        </w:tc>
      </w:tr>
      <w:tr>
        <w:trPr>
          <w:cantSplit/>
        </w:trPr>
        <w:tc>
          <w:tcPr>
            <w:tcW w:type="dxa" w:w="2920"/>
            <w:shd w:fill="F2F4F7"/>
          </w:tcPr>
          <w:p>
            <w:pPr>
              <w:spacing w:before="0" w:after="0" w:line="252" w:lineRule="auto"/>
              <w:jc w:val="left"/>
            </w:pPr>
            <w:r/>
            <w:r>
              <w:rPr>
                <w:rFonts w:ascii="Calibri" w:hAnsi="Calibri"/>
                <w:b w:val="0"/>
                <w:color w:val="111111"/>
                <w:sz w:val="17"/>
              </w:rPr>
              <w:t>qadd_hum_prominence_db</w:t>
            </w:r>
          </w:p>
        </w:tc>
        <w:tc>
          <w:tcPr>
            <w:tcW w:type="dxa" w:w="1420"/>
            <w:shd w:fill="F2F4F7"/>
          </w:tcPr>
          <w:p>
            <w:pPr>
              <w:spacing w:before="0" w:after="0" w:line="252" w:lineRule="auto"/>
              <w:jc w:val="center"/>
            </w:pPr>
            <w:r/>
            <w:r>
              <w:rPr>
                <w:rFonts w:ascii="Calibri" w:hAnsi="Calibri"/>
                <w:b w:val="0"/>
                <w:color w:val="111111"/>
                <w:sz w:val="17"/>
              </w:rPr>
              <w:t>Primary targeted</w:t>
            </w:r>
          </w:p>
        </w:tc>
        <w:tc>
          <w:tcPr>
            <w:tcW w:type="dxa" w:w="1420"/>
            <w:shd w:fill="F2F4F7"/>
          </w:tcPr>
          <w:p>
            <w:pPr>
              <w:spacing w:before="0" w:after="0" w:line="252" w:lineRule="auto"/>
              <w:jc w:val="center"/>
            </w:pPr>
            <w:r/>
            <w:r>
              <w:rPr>
                <w:rFonts w:ascii="Calibri" w:hAnsi="Calibri"/>
                <w:b w:val="0"/>
                <w:color w:val="111111"/>
                <w:sz w:val="17"/>
              </w:rPr>
              <w:t>Higher</w:t>
            </w:r>
          </w:p>
        </w:tc>
        <w:tc>
          <w:tcPr>
            <w:tcW w:type="dxa" w:w="3600"/>
            <w:shd w:fill="F2F4F7"/>
          </w:tcPr>
          <w:p>
            <w:pPr>
              <w:spacing w:before="0" w:after="0" w:line="252" w:lineRule="auto"/>
              <w:jc w:val="left"/>
            </w:pPr>
            <w:r/>
            <w:r>
              <w:rPr>
                <w:rFonts w:ascii="Calibri" w:hAnsi="Calibri"/>
                <w:b w:val="0"/>
                <w:color w:val="111111"/>
                <w:sz w:val="17"/>
              </w:rPr>
              <w:t>Replace raw 50/60 ratios with local prominence</w:t>
            </w:r>
          </w:p>
        </w:tc>
      </w:tr>
      <w:tr>
        <w:trPr>
          <w:cantSplit/>
        </w:trPr>
        <w:tc>
          <w:tcPr>
            <w:tcW w:type="dxa" w:w="2920"/>
            <w:shd w:fill="FFFFFF"/>
          </w:tcPr>
          <w:p>
            <w:pPr>
              <w:spacing w:before="0" w:after="0" w:line="252" w:lineRule="auto"/>
              <w:jc w:val="left"/>
            </w:pPr>
            <w:r/>
            <w:r>
              <w:rPr>
                <w:rFonts w:ascii="Calibri" w:hAnsi="Calibri"/>
                <w:b w:val="0"/>
                <w:color w:val="111111"/>
                <w:sz w:val="17"/>
              </w:rPr>
              <w:t>qadd_pause_level_iqr_db</w:t>
            </w:r>
          </w:p>
        </w:tc>
        <w:tc>
          <w:tcPr>
            <w:tcW w:type="dxa" w:w="1420"/>
            <w:shd w:fill="FFFFFF"/>
          </w:tcPr>
          <w:p>
            <w:pPr>
              <w:spacing w:before="0" w:after="0" w:line="252" w:lineRule="auto"/>
              <w:jc w:val="center"/>
            </w:pPr>
            <w:r/>
            <w:r>
              <w:rPr>
                <w:rFonts w:ascii="Calibri" w:hAnsi="Calibri"/>
                <w:b w:val="0"/>
                <w:color w:val="111111"/>
                <w:sz w:val="17"/>
              </w:rPr>
              <w:t>Secondary</w:t>
            </w:r>
          </w:p>
        </w:tc>
        <w:tc>
          <w:tcPr>
            <w:tcW w:type="dxa" w:w="1420"/>
            <w:shd w:fill="FFFFFF"/>
          </w:tcPr>
          <w:p>
            <w:pPr>
              <w:spacing w:before="0" w:after="0" w:line="252" w:lineRule="auto"/>
              <w:jc w:val="center"/>
            </w:pPr>
            <w:r/>
            <w:r>
              <w:rPr>
                <w:rFonts w:ascii="Calibri" w:hAnsi="Calibri"/>
                <w:b w:val="0"/>
                <w:color w:val="111111"/>
                <w:sz w:val="17"/>
              </w:rPr>
              <w:t>Higher variability</w:t>
            </w:r>
          </w:p>
        </w:tc>
        <w:tc>
          <w:tcPr>
            <w:tcW w:type="dxa" w:w="3600"/>
            <w:shd w:fill="FFFFFF"/>
          </w:tcPr>
          <w:p>
            <w:pPr>
              <w:spacing w:before="0" w:after="0" w:line="252" w:lineRule="auto"/>
              <w:jc w:val="left"/>
            </w:pPr>
            <w:r/>
            <w:r>
              <w:rPr>
                <w:rFonts w:ascii="Calibri" w:hAnsi="Calibri"/>
                <w:b w:val="0"/>
                <w:color w:val="111111"/>
                <w:sz w:val="17"/>
              </w:rPr>
              <w:t>Retain as descriptor; exclude from composite</w:t>
            </w:r>
          </w:p>
        </w:tc>
      </w:tr>
      <w:tr>
        <w:trPr>
          <w:cantSplit/>
        </w:trPr>
        <w:tc>
          <w:tcPr>
            <w:tcW w:type="dxa" w:w="2920"/>
            <w:shd w:fill="F2F4F7"/>
          </w:tcPr>
          <w:p>
            <w:pPr>
              <w:spacing w:before="0" w:after="0" w:line="252" w:lineRule="auto"/>
              <w:jc w:val="left"/>
            </w:pPr>
            <w:r/>
            <w:r>
              <w:rPr>
                <w:rFonts w:ascii="Calibri" w:hAnsi="Calibri"/>
                <w:b w:val="0"/>
                <w:color w:val="111111"/>
                <w:sz w:val="17"/>
              </w:rPr>
              <w:t>qadd_pause_spectral_flatness</w:t>
            </w:r>
          </w:p>
        </w:tc>
        <w:tc>
          <w:tcPr>
            <w:tcW w:type="dxa" w:w="1420"/>
            <w:shd w:fill="F2F4F7"/>
          </w:tcPr>
          <w:p>
            <w:pPr>
              <w:spacing w:before="0" w:after="0" w:line="252" w:lineRule="auto"/>
              <w:jc w:val="center"/>
            </w:pPr>
            <w:r/>
            <w:r>
              <w:rPr>
                <w:rFonts w:ascii="Calibri" w:hAnsi="Calibri"/>
                <w:b w:val="0"/>
                <w:color w:val="111111"/>
                <w:sz w:val="17"/>
              </w:rPr>
              <w:t>Secondary</w:t>
            </w:r>
          </w:p>
        </w:tc>
        <w:tc>
          <w:tcPr>
            <w:tcW w:type="dxa" w:w="1420"/>
            <w:shd w:fill="F2F4F7"/>
          </w:tcPr>
          <w:p>
            <w:pPr>
              <w:spacing w:before="0" w:after="0" w:line="252" w:lineRule="auto"/>
              <w:jc w:val="center"/>
            </w:pPr>
            <w:r/>
            <w:r>
              <w:rPr>
                <w:rFonts w:ascii="Calibri" w:hAnsi="Calibri"/>
                <w:b w:val="0"/>
                <w:color w:val="111111"/>
                <w:sz w:val="17"/>
              </w:rPr>
              <w:t>No universal direction</w:t>
            </w:r>
          </w:p>
        </w:tc>
        <w:tc>
          <w:tcPr>
            <w:tcW w:type="dxa" w:w="3600"/>
            <w:shd w:fill="F2F4F7"/>
          </w:tcPr>
          <w:p>
            <w:pPr>
              <w:spacing w:before="0" w:after="0" w:line="252" w:lineRule="auto"/>
              <w:jc w:val="left"/>
            </w:pPr>
            <w:r/>
            <w:r>
              <w:rPr>
                <w:rFonts w:ascii="Calibri" w:hAnsi="Calibri"/>
                <w:b w:val="0"/>
                <w:color w:val="111111"/>
                <w:sz w:val="17"/>
              </w:rPr>
              <w:t>Retain as noise-type descriptor only</w:t>
            </w:r>
          </w:p>
        </w:tc>
      </w:tr>
      <w:tr>
        <w:trPr>
          <w:cantSplit/>
        </w:trPr>
        <w:tc>
          <w:tcPr>
            <w:tcW w:type="dxa" w:w="2920"/>
            <w:shd w:fill="FFFFFF"/>
          </w:tcPr>
          <w:p>
            <w:pPr>
              <w:spacing w:before="0" w:after="0" w:line="252" w:lineRule="auto"/>
              <w:jc w:val="left"/>
            </w:pPr>
            <w:r/>
            <w:r>
              <w:rPr>
                <w:rFonts w:ascii="Calibri" w:hAnsi="Calibri"/>
                <w:b w:val="0"/>
                <w:color w:val="111111"/>
                <w:sz w:val="17"/>
              </w:rPr>
              <w:t>qadd_transient_rate_per_min</w:t>
            </w:r>
          </w:p>
        </w:tc>
        <w:tc>
          <w:tcPr>
            <w:tcW w:type="dxa" w:w="1420"/>
            <w:shd w:fill="FFFFFF"/>
          </w:tcPr>
          <w:p>
            <w:pPr>
              <w:spacing w:before="0" w:after="0" w:line="252" w:lineRule="auto"/>
              <w:jc w:val="center"/>
            </w:pPr>
            <w:r/>
            <w:r>
              <w:rPr>
                <w:rFonts w:ascii="Calibri" w:hAnsi="Calibri"/>
                <w:b w:val="0"/>
                <w:color w:val="111111"/>
                <w:sz w:val="17"/>
              </w:rPr>
              <w:t>Exploratory</w:t>
            </w:r>
          </w:p>
        </w:tc>
        <w:tc>
          <w:tcPr>
            <w:tcW w:type="dxa" w:w="1420"/>
            <w:shd w:fill="FFFFFF"/>
          </w:tcPr>
          <w:p>
            <w:pPr>
              <w:spacing w:before="0" w:after="0" w:line="252" w:lineRule="auto"/>
              <w:jc w:val="center"/>
            </w:pPr>
            <w:r/>
            <w:r>
              <w:rPr>
                <w:rFonts w:ascii="Calibri" w:hAnsi="Calibri"/>
                <w:b w:val="0"/>
                <w:color w:val="111111"/>
                <w:sz w:val="17"/>
              </w:rPr>
              <w:t>Higher</w:t>
            </w:r>
          </w:p>
        </w:tc>
        <w:tc>
          <w:tcPr>
            <w:tcW w:type="dxa" w:w="3600"/>
            <w:shd w:fill="FFFFFF"/>
          </w:tcPr>
          <w:p>
            <w:pPr>
              <w:spacing w:before="0" w:after="0" w:line="252" w:lineRule="auto"/>
              <w:jc w:val="left"/>
            </w:pPr>
            <w:r/>
            <w:r>
              <w:rPr>
                <w:rFonts w:ascii="Calibri" w:hAnsi="Calibri"/>
                <w:b w:val="0"/>
                <w:color w:val="111111"/>
                <w:sz w:val="17"/>
              </w:rPr>
              <w:t>Retain only after exposure/stability validation</w:t>
            </w:r>
          </w:p>
        </w:tc>
      </w:tr>
      <w:tr>
        <w:trPr>
          <w:cantSplit/>
        </w:trPr>
        <w:tc>
          <w:tcPr>
            <w:tcW w:type="dxa" w:w="2920"/>
            <w:shd w:fill="F2F4F7"/>
          </w:tcPr>
          <w:p>
            <w:pPr>
              <w:spacing w:before="0" w:after="0" w:line="252" w:lineRule="auto"/>
              <w:jc w:val="left"/>
            </w:pPr>
            <w:r/>
            <w:r>
              <w:rPr>
                <w:rFonts w:ascii="Calibri" w:hAnsi="Calibri"/>
                <w:b w:val="0"/>
                <w:color w:val="111111"/>
                <w:sz w:val="17"/>
              </w:rPr>
              <w:t>qadd_nontarget_speech_fraction</w:t>
            </w:r>
          </w:p>
        </w:tc>
        <w:tc>
          <w:tcPr>
            <w:tcW w:type="dxa" w:w="1420"/>
            <w:shd w:fill="F2F4F7"/>
          </w:tcPr>
          <w:p>
            <w:pPr>
              <w:spacing w:before="0" w:after="0" w:line="252" w:lineRule="auto"/>
              <w:jc w:val="center"/>
            </w:pPr>
            <w:r/>
            <w:r>
              <w:rPr>
                <w:rFonts w:ascii="Calibri" w:hAnsi="Calibri"/>
                <w:b w:val="0"/>
                <w:color w:val="111111"/>
                <w:sz w:val="17"/>
              </w:rPr>
              <w:t>Exploratory</w:t>
            </w:r>
          </w:p>
        </w:tc>
        <w:tc>
          <w:tcPr>
            <w:tcW w:type="dxa" w:w="1420"/>
            <w:shd w:fill="F2F4F7"/>
          </w:tcPr>
          <w:p>
            <w:pPr>
              <w:spacing w:before="0" w:after="0" w:line="252" w:lineRule="auto"/>
              <w:jc w:val="center"/>
            </w:pPr>
            <w:r/>
            <w:r>
              <w:rPr>
                <w:rFonts w:ascii="Calibri" w:hAnsi="Calibri"/>
                <w:b w:val="0"/>
                <w:color w:val="111111"/>
                <w:sz w:val="17"/>
              </w:rPr>
              <w:t>Higher</w:t>
            </w:r>
          </w:p>
        </w:tc>
        <w:tc>
          <w:tcPr>
            <w:tcW w:type="dxa" w:w="3600"/>
            <w:shd w:fill="F2F4F7"/>
          </w:tcPr>
          <w:p>
            <w:pPr>
              <w:spacing w:before="0" w:after="0" w:line="252" w:lineRule="auto"/>
              <w:jc w:val="left"/>
            </w:pPr>
            <w:r/>
            <w:r>
              <w:rPr>
                <w:rFonts w:ascii="Calibri" w:hAnsi="Calibri"/>
                <w:b w:val="0"/>
                <w:color w:val="111111"/>
                <w:sz w:val="17"/>
              </w:rPr>
              <w:t>New; separate model and manual validation required</w:t>
            </w:r>
          </w:p>
        </w:tc>
      </w:tr>
    </w:tbl>
    <w:p>
      <w:pPr>
        <w:spacing w:before="80" w:after="60"/>
      </w:pPr>
      <w:r>
        <w:rPr>
          <w:rFonts w:ascii="Calibri" w:hAnsi="Calibri"/>
          <w:i/>
          <w:color w:val="566573"/>
          <w:sz w:val="18"/>
        </w:rPr>
        <w:t>Legacy-only outputs: pause peak/P95 level, spectral centroid, separate 50-Hz and 60-Hz power ratios, and WADA-SNR. Preserve them for reproducibility and diagnostics, but do not include them in the prespecified Paper 1 Qadd inferential set.</w:t>
      </w:r>
    </w:p>
    <w:p>
      <w:pPr>
        <w:pStyle w:val="Heading1"/>
      </w:pPr>
      <w:r>
        <w:t>3. Exact measurement protocol</w:t>
      </w:r>
    </w:p>
    <w:p>
      <w:pPr>
        <w:numPr>
          <w:ilvl w:val="0"/>
          <w:numId w:val="11"/>
        </w:numPr>
        <w:spacing w:after="80" w:line="300" w:lineRule="auto"/>
      </w:pPr>
      <w:r>
        <w:rPr>
          <w:rFonts w:ascii="Calibri" w:hAnsi="Calibri"/>
          <w:color w:val="111111"/>
          <w:sz w:val="21"/>
        </w:rPr>
        <w:t>Input contract. Use only the frozen Bamboo media table and frozen post-review segmentation. Accepted and flagged recordings proceed; excluded recordings do not. Manual boundaries override automatic boundaries. Never use diagnosis or human Qadd ratings in feature extraction.</w:t>
      </w:r>
    </w:p>
    <w:p>
      <w:pPr>
        <w:numPr>
          <w:ilvl w:val="0"/>
          <w:numId w:val="11"/>
        </w:numPr>
        <w:spacing w:after="80" w:line="300" w:lineRule="auto"/>
      </w:pPr>
      <w:r>
        <w:rPr>
          <w:rFonts w:ascii="Calibri" w:hAnsi="Calibri"/>
          <w:color w:val="111111"/>
          <w:sz w:val="21"/>
        </w:rPr>
        <w:t>Waveform contract. Decode to mono floating point, preserve native amplitude, and resample once to 16 kHz using a documented high-quality polyphase method. Do not peak-normalize, loudness-normalize, denoise, compress, or apply AGC. Store original sample rate, channels, bit depth, duration, peak, clipping fraction, and decode warnings.</w:t>
      </w:r>
    </w:p>
    <w:p>
      <w:pPr>
        <w:numPr>
          <w:ilvl w:val="0"/>
          <w:numId w:val="11"/>
        </w:numPr>
        <w:spacing w:after="80" w:line="300" w:lineRule="auto"/>
      </w:pPr>
      <w:r>
        <w:rPr>
          <w:rFonts w:ascii="Calibri" w:hAnsi="Calibri"/>
          <w:color w:val="111111"/>
          <w:sz w:val="21"/>
        </w:rPr>
        <w:t>Pause contract. Primary estimates use internal nonspeech only. Erode every speech/pause boundary by 200 ms on the pause side; keep only intervals with at least 250 ms remaining. Leading and trailing nonspeech are a separate sensitivity analysis, not pooled into the primary estimator.</w:t>
      </w:r>
    </w:p>
    <w:p>
      <w:pPr>
        <w:numPr>
          <w:ilvl w:val="0"/>
          <w:numId w:val="11"/>
        </w:numPr>
        <w:spacing w:after="80" w:line="300" w:lineRule="auto"/>
      </w:pPr>
      <w:r>
        <w:rPr>
          <w:rFonts w:ascii="Calibri" w:hAnsi="Calibri"/>
          <w:color w:val="111111"/>
          <w:sz w:val="21"/>
        </w:rPr>
        <w:t>Frame contract. For level summaries use 30-ms frames with a 10-ms hop. Remove only the frame mean (DC); otherwise preserve energy. Define digital RMS level exactly as 20 log10(max(RMS, ε)/1.0). This is an amplitude-relative full-scale digital level, not dB SPL; a full-scale sine is −3.01 dB under this convention [3,16].</w:t>
      </w:r>
    </w:p>
    <w:p>
      <w:pPr>
        <w:numPr>
          <w:ilvl w:val="0"/>
          <w:numId w:val="11"/>
        </w:numPr>
        <w:spacing w:after="80" w:line="300" w:lineRule="auto"/>
      </w:pPr>
      <w:r>
        <w:rPr>
          <w:rFonts w:ascii="Calibri" w:hAnsi="Calibri"/>
          <w:color w:val="111111"/>
          <w:sz w:val="21"/>
        </w:rPr>
        <w:t>Support contract. A recording-level general Qadd estimate is valid only with at least 3.0 s of usable internal pause from at least three intervals and at least 5.0 s of speech. Hum and spectral features additionally require at least three 1-s analysis windows. Transient rate requires at least 5.0 s of pause exposure and must always be reported with event count and exposure time. These values are provisional until the support-stability audit; changes must be frozen before perceptual testing.</w:t>
      </w:r>
    </w:p>
    <w:p>
      <w:pPr>
        <w:numPr>
          <w:ilvl w:val="0"/>
          <w:numId w:val="11"/>
        </w:numPr>
        <w:spacing w:after="80" w:line="300" w:lineRule="auto"/>
      </w:pPr>
      <w:r>
        <w:rPr>
          <w:rFonts w:ascii="Calibri" w:hAnsi="Calibri"/>
          <w:color w:val="111111"/>
          <w:sz w:val="21"/>
        </w:rPr>
        <w:t>Aggregation contract. Compute window-level values first, then aggregate robustly at the recording level. Do not concatenate separated pauses before spectral analysis because artificial joins create transients. Store window-level audit tables so every recording-level value can be reconstructed.</w:t>
      </w:r>
    </w:p>
    <w:p>
      <w:pPr>
        <w:pStyle w:val="Heading1"/>
      </w:pPr>
      <w:r>
        <w:t>4. Feature specifications</w:t>
      </w:r>
    </w:p>
    <w:p>
      <w:pPr>
        <w:keepNext/>
        <w:spacing w:before="180" w:after="60"/>
      </w:pPr>
      <w:r>
        <w:rPr>
          <w:rFonts w:ascii="Calibri" w:hAnsi="Calibri"/>
          <w:b/>
          <w:color w:val="142B4A"/>
          <w:sz w:val="22"/>
        </w:rPr>
        <w:t>qadd_pause_level_dbfs_median</w:t>
      </w:r>
      <w:r>
        <w:rPr>
          <w:rFonts w:ascii="Calibri" w:hAnsi="Calibri"/>
          <w:b/>
          <w:color w:val="177E89"/>
          <w:sz w:val="19"/>
        </w:rPr>
        <w:t xml:space="preserve">  |  PRIMARY · GENERAL</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Median over usable pause frames of L_RMS = 20 log10(max(RMS(x_frame), ε)/1.0).</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dB relative to full-scale amplitude; mathematical range (−∞, 0]. Higher (less negative) indicates more recorded pause energy.</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Speech-absent intervals are an established basis for noise estimation [6,7]. A median limits the influence of isolated events and gives an interpretable digital-energy summary.</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Interpret as recorded pause/background level, not room SPL and not source identity. Strongly affected by microphone gain, distance, AGC, channel response, and residual breath/speech. No universal clean/noisy threshold is defensible. References: [2–7,16]</w:t>
            </w:r>
          </w:p>
        </w:tc>
      </w:tr>
    </w:tbl>
    <w:p>
      <w:pPr>
        <w:keepNext/>
        <w:spacing w:before="180" w:after="60"/>
      </w:pPr>
      <w:r>
        <w:rPr>
          <w:rFonts w:ascii="Calibri" w:hAnsi="Calibri"/>
          <w:b/>
          <w:color w:val="142B4A"/>
          <w:sz w:val="22"/>
        </w:rPr>
        <w:t>qadd_speech_pause_contrast_db</w:t>
      </w:r>
      <w:r>
        <w:rPr>
          <w:rFonts w:ascii="Calibri" w:hAnsi="Calibri"/>
          <w:b/>
          <w:color w:val="177E89"/>
          <w:sz w:val="19"/>
        </w:rPr>
        <w:t xml:space="preserve">  |  PRIMARY · GENERAL</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Median speech-frame digital RMS level minus median pause-frame digital RMS level.</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dB; unbounded in principle, normally positive. Lower values indicate poorer speech–background separation.</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A relative level difference cancels constant global gain and operationalizes separation between active speech and background; standards distinguish active speech level from noise [1,3].</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Call this robust level contrast—not SNR—because clean target-speech power is unknown. Reduced vocal intensity, dysarthria, microphone distance, AGC, or VAD leakage can lower the value without increased environmental noise. WADA-SNR is sensitivity-only because its Gamma-speech and Gaussian-noise assumptions are not guaranteed for ALS remote recordings [11]. References: [1,3,11,13]</w:t>
            </w:r>
          </w:p>
        </w:tc>
      </w:tr>
    </w:tbl>
    <w:p>
      <w:pPr>
        <w:keepNext/>
        <w:spacing w:before="180" w:after="60"/>
      </w:pPr>
      <w:r>
        <w:rPr>
          <w:rFonts w:ascii="Calibri" w:hAnsi="Calibri"/>
          <w:b/>
          <w:color w:val="142B4A"/>
          <w:sz w:val="22"/>
        </w:rPr>
        <w:t>qadd_pause_upper_tail_db</w:t>
      </w:r>
      <w:r>
        <w:rPr>
          <w:rFonts w:ascii="Calibri" w:hAnsi="Calibri"/>
          <w:b/>
          <w:color w:val="177E89"/>
          <w:sz w:val="19"/>
        </w:rPr>
        <w:t xml:space="preserve">  |  PRIMARY · NONSTATIONARY</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Q95(L_RMS,pause frames) − Q50(L_RMS,pause frames).</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dB; range [0, ∞). Higher values indicate a heavier upper tail of pause energy.</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Nonstationary and impulsive contamination is scientifically distinct from steady background noise [2,15]. A within-recording quantile difference is robust and invariant to constant gain.</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Interpret as upper-tail/burstiness evidence, not as an event count or physical impulsiveness rating. Can rise because of breaths, mouth noise, residual speech, or a small number of corrupted pauses. Requires boundary-jitter and support-stability checks. References: [2,6,15]</w:t>
            </w:r>
          </w:p>
        </w:tc>
      </w:tr>
    </w:tbl>
    <w:p>
      <w:pPr>
        <w:keepNext/>
        <w:spacing w:before="180" w:after="60"/>
      </w:pPr>
      <w:r>
        <w:rPr>
          <w:rFonts w:ascii="Calibri" w:hAnsi="Calibri"/>
          <w:b/>
          <w:color w:val="142B4A"/>
          <w:sz w:val="22"/>
        </w:rPr>
        <w:t>qadd_hum_prominence_db</w:t>
      </w:r>
      <w:r>
        <w:rPr>
          <w:rFonts w:ascii="Calibri" w:hAnsi="Calibri"/>
          <w:b/>
          <w:color w:val="177E89"/>
          <w:sz w:val="19"/>
        </w:rPr>
        <w:t xml:space="preserve">  |  PRIMARY · TARGETED TONAL</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For each ≥1-s pause window, estimate Welch PSD; evaluate 50- and 60-Hz harmonic series (up to 1 kHz) against local sidebands; aggregate harmonic tone-to-local-noise evidence, then take the median across windows and the maximum of the 50/60 systems. Also store winning base frequency.</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dB; real-valued. Higher values indicate stronger mains-related tonal structure.</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Tone-to-noise ratio and prominence ratio are established approaches for prominent discrete tones [10]; Welch averaging supports stable PSD estimation [8].</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This is an ECMA-inspired adaptation for digital speech pauses, not an ECMA-conformant product-noise test. Tonal environmental sources unrelated to mains can contribute; short windows and spectral leakage can bias estimates. The 50/60 maximum requires null calibration to quantify selection bias. References: [8,10]</w:t>
            </w:r>
          </w:p>
        </w:tc>
      </w:tr>
    </w:tbl>
    <w:p>
      <w:pPr>
        <w:keepNext/>
        <w:spacing w:before="180" w:after="60"/>
      </w:pPr>
      <w:r>
        <w:rPr>
          <w:rFonts w:ascii="Calibri" w:hAnsi="Calibri"/>
          <w:b/>
          <w:color w:val="142B4A"/>
          <w:sz w:val="22"/>
        </w:rPr>
        <w:t>qadd_pause_level_iqr_db</w:t>
      </w:r>
      <w:r>
        <w:rPr>
          <w:rFonts w:ascii="Calibri" w:hAnsi="Calibri"/>
          <w:b/>
          <w:color w:val="177E89"/>
          <w:sz w:val="19"/>
        </w:rPr>
        <w:t xml:space="preserve">  |  SECONDARY · DIAGNOSTIC</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Q75(L_RMS,pause frames) − Q25(L_RMS,pause frames).</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dB; range [0, ∞). Higher values mean greater pause-level variability; not universally worse.</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A robust spread measure helps distinguish steady from changing background and supports audit of the median estimator.</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Use descriptively and for sensitivity; do not force it into a monotonic burden score. Breathing, pause heterogeneity, and segment duration can dominate. It partially overlaps with the upper-tail feature. References: [2,6]</w:t>
            </w:r>
          </w:p>
        </w:tc>
      </w:tr>
    </w:tbl>
    <w:p>
      <w:pPr>
        <w:keepNext/>
        <w:spacing w:before="180" w:after="60"/>
      </w:pPr>
      <w:r>
        <w:rPr>
          <w:rFonts w:ascii="Calibri" w:hAnsi="Calibri"/>
          <w:b/>
          <w:color w:val="142B4A"/>
          <w:sz w:val="22"/>
        </w:rPr>
        <w:t>qadd_pause_spectral_flatness</w:t>
      </w:r>
      <w:r>
        <w:rPr>
          <w:rFonts w:ascii="Calibri" w:hAnsi="Calibri"/>
          <w:b/>
          <w:color w:val="177E89"/>
          <w:sz w:val="19"/>
        </w:rPr>
        <w:t xml:space="preserve">  |  SECONDARY · DESCRIPTOR</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For each ≥1-s pause window, Welch PSD in a frozen analysis band (proposed 80–7500 Hz); flatness = geometric mean(PSD)/arithmetic mean(PSD); aggregate the window median.</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Ratio in (0, 1]. No universal quality direction: high is more noise-like/flat; low is more tonal/structured.</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Spectral flatness quantifies spectral randomness/structure and is meaningful as a contamination-type descriptor [9].</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2F4F7"/>
          </w:tcPr>
          <w:p>
            <w:pPr>
              <w:spacing w:before="0" w:after="0" w:line="252" w:lineRule="auto"/>
              <w:jc w:val="left"/>
            </w:pPr>
            <w:r/>
            <w:r>
              <w:rPr>
                <w:rFonts w:ascii="Calibri" w:hAnsi="Calibri"/>
                <w:b w:val="0"/>
                <w:color w:val="111111"/>
                <w:sz w:val="18"/>
              </w:rPr>
              <w:t>Use to characterize the spectral form of contamination and to explain hum/broadband mixtures. Microphone/channel filtering changes flatness; white and colored noises differ; neither endpoint is intrinsically clean. Never average raw flatness into a severity score. References: [8,9]</w:t>
            </w:r>
          </w:p>
        </w:tc>
      </w:tr>
    </w:tbl>
    <w:p>
      <w:pPr>
        <w:keepNext/>
        <w:spacing w:before="180" w:after="60"/>
      </w:pPr>
      <w:r>
        <w:rPr>
          <w:rFonts w:ascii="Calibri" w:hAnsi="Calibri"/>
          <w:b/>
          <w:color w:val="142B4A"/>
          <w:sz w:val="22"/>
        </w:rPr>
        <w:t>qadd_transient_rate_per_min</w:t>
      </w:r>
      <w:r>
        <w:rPr>
          <w:rFonts w:ascii="Calibri" w:hAnsi="Calibri"/>
          <w:b/>
          <w:color w:val="177E89"/>
          <w:sz w:val="19"/>
        </w:rPr>
        <w:t xml:space="preserve">  |  EXPLORATORY · NONSTATIONARY</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Count contiguous pause-frame excursions above a robust adaptive threshold, enforce a minimum event duration and refractory gap, then divide by usable pause exposure in minutes.</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FF4D6"/>
          </w:tcPr>
          <w:p>
            <w:pPr>
              <w:spacing w:before="0" w:after="0" w:line="252" w:lineRule="auto"/>
              <w:jc w:val="left"/>
            </w:pPr>
            <w:r/>
            <w:r>
              <w:rPr>
                <w:rFonts w:ascii="Calibri" w:hAnsi="Calibri"/>
                <w:b w:val="0"/>
                <w:color w:val="111111"/>
                <w:sz w:val="18"/>
              </w:rPr>
              <w:t>events/min; range [0, ∞). Higher indicates more detected excursions.</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An event rate can be more interpretable than distribution spread when discrete bumps/clicks are the mechanism; impulsive sound is recognized as a distinct acoustic phenomenon [15].</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FF4D6"/>
          </w:tcPr>
          <w:p>
            <w:pPr>
              <w:spacing w:before="0" w:after="0" w:line="252" w:lineRule="auto"/>
              <w:jc w:val="left"/>
            </w:pPr>
            <w:r/>
            <w:r>
              <w:rPr>
                <w:rFonts w:ascii="Calibri" w:hAnsi="Calibri"/>
                <w:b w:val="0"/>
                <w:color w:val="111111"/>
                <w:sz w:val="18"/>
              </w:rPr>
              <w:t>Retain only if synthetic-event recovery, threshold robustness, and support-stability pass. Rates become extremely unstable with little pause exposure. Thresholds are project-defined, not standardized; plosives, breaths, and boundary leakage can generate false events. References: [6,15]</w:t>
            </w:r>
          </w:p>
        </w:tc>
      </w:tr>
    </w:tbl>
    <w:p>
      <w:pPr>
        <w:keepNext/>
        <w:spacing w:before="180" w:after="60"/>
      </w:pPr>
      <w:r>
        <w:rPr>
          <w:rFonts w:ascii="Calibri" w:hAnsi="Calibri"/>
          <w:b/>
          <w:color w:val="142B4A"/>
          <w:sz w:val="22"/>
        </w:rPr>
        <w:t>qadd_nontarget_speech_fraction</w:t>
      </w:r>
      <w:r>
        <w:rPr>
          <w:rFonts w:ascii="Calibri" w:hAnsi="Calibri"/>
          <w:b/>
          <w:color w:val="177E89"/>
          <w:sz w:val="19"/>
        </w:rPr>
        <w:t xml:space="preserve">  |  EXPLORATORY · COVERAGE</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Definition</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Fraction of detected speech time assigned to non-dominant speakers and/or overlap, using a frozen speaker-diarization/overlap model; the longest-duration speaker is only a provisional target proxy.</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Unit / range / direction</w:t>
            </w:r>
          </w:p>
        </w:tc>
        <w:tc>
          <w:tcPr>
            <w:tcW w:type="dxa" w:w="7310"/>
            <w:tcMar>
              <w:top w:w="90" w:type="dxa"/>
              <w:start w:w="120" w:type="dxa"/>
              <w:bottom w:w="90" w:type="dxa"/>
              <w:end w:w="120" w:type="dxa"/>
            </w:tcMar>
            <w:vAlign w:val="center"/>
            <w:shd w:fill="FBE9E7"/>
          </w:tcPr>
          <w:p>
            <w:pPr>
              <w:spacing w:before="0" w:after="0" w:line="252" w:lineRule="auto"/>
              <w:jc w:val="left"/>
            </w:pPr>
            <w:r/>
            <w:r>
              <w:rPr>
                <w:rFonts w:ascii="Calibri" w:hAnsi="Calibri"/>
                <w:b w:val="0"/>
                <w:color w:val="111111"/>
                <w:sz w:val="18"/>
              </w:rPr>
              <w:t>Fraction in [0, 1]. Higher indicates more possible non-target/overlapping speech.</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Why it belongs</w:t>
            </w:r>
          </w:p>
        </w:tc>
        <w:tc>
          <w:tcPr>
            <w:tcW w:type="dxa" w:w="7310"/>
            <w:tcMar>
              <w:top w:w="90" w:type="dxa"/>
              <w:start w:w="120" w:type="dxa"/>
              <w:bottom w:w="90" w:type="dxa"/>
              <w:end w:w="120" w:type="dxa"/>
            </w:tcMar>
            <w:vAlign w:val="center"/>
            <w:shd w:fill="FFFFFF"/>
          </w:tcPr>
          <w:p>
            <w:pPr>
              <w:spacing w:before="0" w:after="0" w:line="252" w:lineRule="auto"/>
              <w:jc w:val="left"/>
            </w:pPr>
            <w:r/>
            <w:r>
              <w:rPr>
                <w:rFonts w:ascii="Calibri" w:hAnsi="Calibri"/>
                <w:b w:val="0"/>
                <w:color w:val="111111"/>
                <w:sz w:val="18"/>
              </w:rPr>
              <w:t>A conventional VAD labels both target and competing talkers as speech, so pause metrics cannot cover this mechanism. Overlapped-speech detection is a separate supervised problem [12].</w:t>
            </w:r>
          </w:p>
        </w:tc>
      </w:tr>
      <w:tr>
        <w:trPr>
          <w:cantSplit/>
        </w:trPr>
        <w:tc>
          <w:tcPr>
            <w:tcW w:type="dxa" w:w="2050"/>
            <w:tcMar>
              <w:top w:w="90" w:type="dxa"/>
              <w:start w:w="120" w:type="dxa"/>
              <w:bottom w:w="90" w:type="dxa"/>
              <w:end w:w="120" w:type="dxa"/>
            </w:tcMar>
            <w:vAlign w:val="center"/>
            <w:shd w:fill="E8EEF5"/>
          </w:tcPr>
          <w:p>
            <w:pPr>
              <w:spacing w:before="0" w:after="0" w:line="252" w:lineRule="auto"/>
              <w:jc w:val="left"/>
            </w:pPr>
            <w:r/>
            <w:r>
              <w:rPr>
                <w:rFonts w:ascii="Calibri" w:hAnsi="Calibri"/>
                <w:b/>
                <w:color w:val="1F4D78"/>
                <w:sz w:val="18"/>
              </w:rPr>
              <w:t>Interpretation limits</w:t>
            </w:r>
          </w:p>
        </w:tc>
        <w:tc>
          <w:tcPr>
            <w:tcW w:type="dxa" w:w="7310"/>
            <w:tcMar>
              <w:top w:w="90" w:type="dxa"/>
              <w:start w:w="120" w:type="dxa"/>
              <w:bottom w:w="90" w:type="dxa"/>
              <w:end w:w="120" w:type="dxa"/>
            </w:tcMar>
            <w:vAlign w:val="center"/>
            <w:shd w:fill="FBE9E7"/>
          </w:tcPr>
          <w:p>
            <w:pPr>
              <w:spacing w:before="0" w:after="0" w:line="252" w:lineRule="auto"/>
              <w:jc w:val="left"/>
            </w:pPr>
            <w:r/>
            <w:r>
              <w:rPr>
                <w:rFonts w:ascii="Calibri" w:hAnsi="Calibri"/>
                <w:b w:val="0"/>
                <w:color w:val="111111"/>
                <w:sz w:val="18"/>
              </w:rPr>
              <w:t>Use only after manual validation on a representative, diagnosis-stratified subset. Speaker identity can be wrong, television speech may form another cluster, and domain shift in remote ALS speech may be substantial. Until validated, do not include this feature in the confirmatory block. References: [12]</w:t>
            </w:r>
          </w:p>
        </w:tc>
      </w:tr>
    </w:tbl>
    <w:p>
      <w:pPr>
        <w:pStyle w:val="Heading1"/>
      </w:pPr>
      <w:r>
        <w:t>5. Measurement-control gates</w:t>
      </w:r>
    </w:p>
    <w:p>
      <w:r>
        <w:t>Feature extraction is not scientifically complete when code runs. Each gate below must produce a saved table and figure. Failure blocks freezing of the Qadd table.</w:t>
      </w:r>
    </w:p>
    <w:tbl>
      <w:tblPr>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tcMar>
              <w:top w:w="90" w:type="dxa"/>
              <w:start w:w="120" w:type="dxa"/>
              <w:bottom w:w="90" w:type="dxa"/>
              <w:end w:w="120" w:type="dxa"/>
            </w:tcMar>
            <w:vAlign w:val="center"/>
            <w:shd w:fill="142B4A"/>
          </w:tcPr>
          <w:p>
            <w:pPr>
              <w:spacing w:before="0" w:after="0" w:line="252" w:lineRule="auto"/>
              <w:jc w:val="left"/>
            </w:pPr>
            <w:r/>
            <w:r>
              <w:rPr>
                <w:rFonts w:ascii="Calibri" w:hAnsi="Calibri"/>
                <w:b/>
                <w:color w:val="FFFFFF"/>
                <w:sz w:val="18"/>
              </w:rPr>
              <w:t>Gate</w:t>
            </w:r>
          </w:p>
        </w:tc>
        <w:tc>
          <w:tcPr>
            <w:tcW w:type="dxa" w:w="7010"/>
            <w:tcMar>
              <w:top w:w="90" w:type="dxa"/>
              <w:start w:w="120" w:type="dxa"/>
              <w:bottom w:w="90" w:type="dxa"/>
              <w:end w:w="120" w:type="dxa"/>
            </w:tcMar>
            <w:vAlign w:val="center"/>
            <w:shd w:fill="142B4A"/>
          </w:tcPr>
          <w:p>
            <w:pPr>
              <w:spacing w:before="0" w:after="0" w:line="252" w:lineRule="auto"/>
              <w:jc w:val="left"/>
            </w:pPr>
            <w:r/>
            <w:r>
              <w:rPr>
                <w:rFonts w:ascii="Calibri" w:hAnsi="Calibri"/>
                <w:b/>
                <w:color w:val="FFFFFF"/>
                <w:sz w:val="18"/>
              </w:rPr>
              <w:t>Required evidence</w:t>
            </w:r>
          </w:p>
        </w:tc>
      </w:tr>
      <w:tr>
        <w:trPr>
          <w:cantSplit/>
        </w:trPr>
        <w:tc>
          <w:tcPr>
            <w:tcW w:type="dxa" w:w="2350"/>
            <w:shd w:fill="E8EEF5"/>
          </w:tcPr>
          <w:p>
            <w:pPr>
              <w:spacing w:before="0" w:after="0" w:line="252" w:lineRule="auto"/>
              <w:jc w:val="left"/>
            </w:pPr>
            <w:r/>
            <w:r>
              <w:rPr>
                <w:rFonts w:ascii="Calibri" w:hAnsi="Calibri"/>
                <w:b/>
                <w:color w:val="1F4D78"/>
                <w:sz w:val="17"/>
              </w:rPr>
              <w:t>Numerical correctness</w:t>
            </w:r>
          </w:p>
        </w:tc>
        <w:tc>
          <w:tcPr>
            <w:tcW w:type="dxa" w:w="7010"/>
            <w:shd w:fill="FFFFFF"/>
          </w:tcPr>
          <w:p>
            <w:pPr>
              <w:spacing w:before="0" w:after="0" w:line="252" w:lineRule="auto"/>
              <w:jc w:val="left"/>
            </w:pPr>
            <w:r/>
            <w:r>
              <w:rPr>
                <w:rFonts w:ascii="Calibri" w:hAnsi="Calibri"/>
                <w:b w:val="0"/>
                <w:color w:val="111111"/>
                <w:sz w:val="17"/>
              </w:rPr>
              <w:t>Unit tests with analytically known signals: silence, full-scale sine, Gaussian noise, colored noise, 50/60-Hz tones, and injected impulses. Verify dB convention, PSD normalization, quantiles, event grouping, and NaN rules.</w:t>
            </w:r>
          </w:p>
        </w:tc>
      </w:tr>
      <w:tr>
        <w:trPr>
          <w:cantSplit/>
        </w:trPr>
        <w:tc>
          <w:tcPr>
            <w:tcW w:type="dxa" w:w="2350"/>
            <w:shd w:fill="E8EEF5"/>
          </w:tcPr>
          <w:p>
            <w:pPr>
              <w:spacing w:before="0" w:after="0" w:line="252" w:lineRule="auto"/>
              <w:jc w:val="left"/>
            </w:pPr>
            <w:r/>
            <w:r>
              <w:rPr>
                <w:rFonts w:ascii="Calibri" w:hAnsi="Calibri"/>
                <w:b/>
                <w:color w:val="1F4D78"/>
                <w:sz w:val="17"/>
              </w:rPr>
              <w:t>Mechanism monotonicity</w:t>
            </w:r>
          </w:p>
        </w:tc>
        <w:tc>
          <w:tcPr>
            <w:tcW w:type="dxa" w:w="7010"/>
            <w:shd w:fill="F2F4F7"/>
          </w:tcPr>
          <w:p>
            <w:pPr>
              <w:spacing w:before="0" w:after="0" w:line="252" w:lineRule="auto"/>
              <w:jc w:val="left"/>
            </w:pPr>
            <w:r/>
            <w:r>
              <w:rPr>
                <w:rFonts w:ascii="Calibri" w:hAnsi="Calibri"/>
                <w:b w:val="0"/>
                <w:color w:val="111111"/>
                <w:sz w:val="17"/>
              </w:rPr>
              <w:t>On a reserved clean-audio subset, inject broadband/colored noise at several controlled relative levels, hum at known tone-to-noise ratios, and transients at known counts/amplitudes. Required: the intended feature changes monotonically while unrelated features are characterized, not assumed inert.</w:t>
            </w:r>
          </w:p>
        </w:tc>
      </w:tr>
      <w:tr>
        <w:trPr>
          <w:cantSplit/>
        </w:trPr>
        <w:tc>
          <w:tcPr>
            <w:tcW w:type="dxa" w:w="2350"/>
            <w:shd w:fill="E8EEF5"/>
          </w:tcPr>
          <w:p>
            <w:pPr>
              <w:spacing w:before="0" w:after="0" w:line="252" w:lineRule="auto"/>
              <w:jc w:val="left"/>
            </w:pPr>
            <w:r/>
            <w:r>
              <w:rPr>
                <w:rFonts w:ascii="Calibri" w:hAnsi="Calibri"/>
                <w:b/>
                <w:color w:val="1F4D78"/>
                <w:sz w:val="17"/>
              </w:rPr>
              <w:t>Gain and channel sensitivity</w:t>
            </w:r>
          </w:p>
        </w:tc>
        <w:tc>
          <w:tcPr>
            <w:tcW w:type="dxa" w:w="7010"/>
            <w:shd w:fill="FFFFFF"/>
          </w:tcPr>
          <w:p>
            <w:pPr>
              <w:spacing w:before="0" w:after="0" w:line="252" w:lineRule="auto"/>
              <w:jc w:val="left"/>
            </w:pPr>
            <w:r/>
            <w:r>
              <w:rPr>
                <w:rFonts w:ascii="Calibri" w:hAnsi="Calibri"/>
                <w:b w:val="0"/>
                <w:color w:val="111111"/>
                <w:sz w:val="17"/>
              </w:rPr>
              <w:t>Apply constant gains (for example −12 to +12 dB without clipping). Contrast and within-recording spread/tail metrics should be invariant; absolute pause level should shift exactly with gain. Compression/AGC is a separate sensitivity because it is nonlinear.</w:t>
            </w:r>
          </w:p>
        </w:tc>
      </w:tr>
      <w:tr>
        <w:trPr>
          <w:cantSplit/>
        </w:trPr>
        <w:tc>
          <w:tcPr>
            <w:tcW w:type="dxa" w:w="2350"/>
            <w:shd w:fill="E8EEF5"/>
          </w:tcPr>
          <w:p>
            <w:pPr>
              <w:spacing w:before="0" w:after="0" w:line="252" w:lineRule="auto"/>
              <w:jc w:val="left"/>
            </w:pPr>
            <w:r/>
            <w:r>
              <w:rPr>
                <w:rFonts w:ascii="Calibri" w:hAnsi="Calibri"/>
                <w:b/>
                <w:color w:val="1F4D78"/>
                <w:sz w:val="17"/>
              </w:rPr>
              <w:t>Segmentation uncertainty</w:t>
            </w:r>
          </w:p>
        </w:tc>
        <w:tc>
          <w:tcPr>
            <w:tcW w:type="dxa" w:w="7010"/>
            <w:shd w:fill="F2F4F7"/>
          </w:tcPr>
          <w:p>
            <w:pPr>
              <w:spacing w:before="0" w:after="0" w:line="252" w:lineRule="auto"/>
              <w:jc w:val="left"/>
            </w:pPr>
            <w:r/>
            <w:r>
              <w:rPr>
                <w:rFonts w:ascii="Calibri" w:hAnsi="Calibri"/>
                <w:b w:val="0"/>
                <w:color w:val="111111"/>
                <w:sz w:val="17"/>
              </w:rPr>
              <w:t>Recompute after ±50, ±100, and ±200-ms boundary perturbations and with leading/trailing pauses included. Save recording-level absolute and relative changes. Large sensitivity triggers manual review or a stricter erosion/support rule.</w:t>
            </w:r>
          </w:p>
        </w:tc>
      </w:tr>
      <w:tr>
        <w:trPr>
          <w:cantSplit/>
        </w:trPr>
        <w:tc>
          <w:tcPr>
            <w:tcW w:type="dxa" w:w="2350"/>
            <w:shd w:fill="E8EEF5"/>
          </w:tcPr>
          <w:p>
            <w:pPr>
              <w:spacing w:before="0" w:after="0" w:line="252" w:lineRule="auto"/>
              <w:jc w:val="left"/>
            </w:pPr>
            <w:r/>
            <w:r>
              <w:rPr>
                <w:rFonts w:ascii="Calibri" w:hAnsi="Calibri"/>
                <w:b/>
                <w:color w:val="1F4D78"/>
                <w:sz w:val="17"/>
              </w:rPr>
              <w:t>Support stability</w:t>
            </w:r>
          </w:p>
        </w:tc>
        <w:tc>
          <w:tcPr>
            <w:tcW w:type="dxa" w:w="7010"/>
            <w:shd w:fill="FFFFFF"/>
          </w:tcPr>
          <w:p>
            <w:pPr>
              <w:spacing w:before="0" w:after="0" w:line="252" w:lineRule="auto"/>
              <w:jc w:val="left"/>
            </w:pPr>
            <w:r/>
            <w:r>
              <w:rPr>
                <w:rFonts w:ascii="Calibri" w:hAnsi="Calibri"/>
                <w:b w:val="0"/>
                <w:color w:val="111111"/>
                <w:sz w:val="17"/>
              </w:rPr>
              <w:t>Subsample cumulative pause exposure and plot feature deviation versus seconds available. Freeze minimum support where median error and 95% limits stabilize; do not select the threshold using human labels.</w:t>
            </w:r>
          </w:p>
        </w:tc>
      </w:tr>
      <w:tr>
        <w:trPr>
          <w:cantSplit/>
        </w:trPr>
        <w:tc>
          <w:tcPr>
            <w:tcW w:type="dxa" w:w="2350"/>
            <w:shd w:fill="E8EEF5"/>
          </w:tcPr>
          <w:p>
            <w:pPr>
              <w:spacing w:before="0" w:after="0" w:line="252" w:lineRule="auto"/>
              <w:jc w:val="left"/>
            </w:pPr>
            <w:r/>
            <w:r>
              <w:rPr>
                <w:rFonts w:ascii="Calibri" w:hAnsi="Calibri"/>
                <w:b/>
                <w:color w:val="1F4D78"/>
                <w:sz w:val="17"/>
              </w:rPr>
              <w:t>Missingness and fairness</w:t>
            </w:r>
          </w:p>
        </w:tc>
        <w:tc>
          <w:tcPr>
            <w:tcW w:type="dxa" w:w="7010"/>
            <w:shd w:fill="F2F4F7"/>
          </w:tcPr>
          <w:p>
            <w:pPr>
              <w:spacing w:before="0" w:after="0" w:line="252" w:lineRule="auto"/>
              <w:jc w:val="left"/>
            </w:pPr>
            <w:r/>
            <w:r>
              <w:rPr>
                <w:rFonts w:ascii="Calibri" w:hAnsi="Calibri"/>
                <w:b w:val="0"/>
                <w:color w:val="111111"/>
                <w:sz w:val="17"/>
              </w:rPr>
              <w:t>Tabulate valid/invalid estimates by diagnosis, participant, recording device metadata, human quality label, and final segmentation status. No outcome-based imputation in the primary analysis.</w:t>
            </w:r>
          </w:p>
        </w:tc>
      </w:tr>
      <w:tr>
        <w:trPr>
          <w:cantSplit/>
        </w:trPr>
        <w:tc>
          <w:tcPr>
            <w:tcW w:type="dxa" w:w="2350"/>
            <w:shd w:fill="E8EEF5"/>
          </w:tcPr>
          <w:p>
            <w:pPr>
              <w:spacing w:before="0" w:after="0" w:line="252" w:lineRule="auto"/>
              <w:jc w:val="left"/>
            </w:pPr>
            <w:r/>
            <w:r>
              <w:rPr>
                <w:rFonts w:ascii="Calibri" w:hAnsi="Calibri"/>
                <w:b/>
                <w:color w:val="1F4D78"/>
                <w:sz w:val="17"/>
              </w:rPr>
              <w:t>Redundancy—not internal consistency</w:t>
            </w:r>
          </w:p>
        </w:tc>
        <w:tc>
          <w:tcPr>
            <w:tcW w:type="dxa" w:w="7010"/>
            <w:shd w:fill="FFFFFF"/>
          </w:tcPr>
          <w:p>
            <w:pPr>
              <w:spacing w:before="0" w:after="0" w:line="252" w:lineRule="auto"/>
              <w:jc w:val="left"/>
            </w:pPr>
            <w:r/>
            <w:r>
              <w:rPr>
                <w:rFonts w:ascii="Calibri" w:hAnsi="Calibri"/>
                <w:b w:val="0"/>
                <w:color w:val="111111"/>
                <w:sz w:val="17"/>
              </w:rPr>
              <w:t>Plot Spearman correlations and condition indices. Qadd is formative: stationary noise, hum, transients, and competing speech need not correlate. Do not use Cronbach’s alpha to justify a composite.</w:t>
            </w:r>
          </w:p>
        </w:tc>
      </w:tr>
    </w:tbl>
    <w:p>
      <w:pPr>
        <w:pStyle w:val="Heading1"/>
      </w:pPr>
      <w:r>
        <w:t>6. Perceptual family alignment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vAlign w:val="center"/>
            <w:shd w:fill="EAF4EA"/>
          </w:tcPr>
          <w:p>
            <w:pPr>
              <w:spacing w:after="60"/>
            </w:pPr>
            <w:r>
              <w:rPr>
                <w:rFonts w:ascii="Calibri" w:hAnsi="Calibri"/>
                <w:b/>
                <w:color w:val="142B4A"/>
                <w:sz w:val="22"/>
              </w:rPr>
              <w:t>Criterion definition</w:t>
            </w:r>
          </w:p>
          <w:p>
            <w:pPr>
              <w:spacing w:after="0" w:line="276" w:lineRule="auto"/>
            </w:pPr>
            <w:r>
              <w:rPr>
                <w:rFonts w:ascii="Calibri" w:hAnsi="Calibri"/>
                <w:color w:val="111111"/>
                <w:sz w:val="20"/>
              </w:rPr>
              <w:t>The validation target is the human additive-interference family, not agreement on a guessed physical source. The objective side is therefore a feature block spanning general background, nonstationarity, tonality, and eventually competing speech. Source-like feature names describe mechanisms; they are not used as the human outcome.</w:t>
            </w:r>
          </w:p>
        </w:tc>
      </w:tr>
    </w:tbl>
    <w:p>
      <w:pPr>
        <w:spacing w:after="0"/>
      </w:pPr>
    </w:p>
    <w:p>
      <w:pPr>
        <w:numPr>
          <w:ilvl w:val="0"/>
          <w:numId w:val="10"/>
        </w:numPr>
        <w:spacing w:after="80" w:line="300" w:lineRule="auto"/>
      </w:pPr>
      <w:r>
        <w:rPr>
          <w:rFonts w:ascii="Calibri" w:hAnsi="Calibri"/>
          <w:color w:val="111111"/>
          <w:sz w:val="21"/>
        </w:rPr>
        <w:t>Preserve every raw RA field and original direction. Create an explicit harmonization table that maps each scale to burden (0 = no perceived family issue; larger = more burden). Never reverse a scale by inference.</w:t>
      </w:r>
    </w:p>
    <w:p>
      <w:pPr>
        <w:numPr>
          <w:ilvl w:val="0"/>
          <w:numId w:val="10"/>
        </w:numPr>
        <w:spacing w:after="80" w:line="300" w:lineRule="auto"/>
      </w:pPr>
      <w:r>
        <w:rPr>
          <w:rFonts w:ascii="Calibri" w:hAnsi="Calibri"/>
          <w:color w:val="111111"/>
          <w:sz w:val="21"/>
        </w:rPr>
        <w:t>Use the 70 recordings rated by all four RAs to quantify reliability before criterion validity. For binary family presence report prevalence, observed agreement, and Gwet’s AC1 with participant-clustered bootstrap confidence intervals; AC1 is useful when prevalence is skewed [14].</w:t>
      </w:r>
    </w:p>
    <w:p>
      <w:pPr>
        <w:numPr>
          <w:ilvl w:val="0"/>
          <w:numId w:val="10"/>
        </w:numPr>
        <w:spacing w:after="80" w:line="300" w:lineRule="auto"/>
      </w:pPr>
      <w:r>
        <w:rPr>
          <w:rFonts w:ascii="Calibri" w:hAnsi="Calibri"/>
          <w:color w:val="111111"/>
          <w:sz w:val="21"/>
        </w:rPr>
        <w:t>For the distributed 4-RA set, retain rater identity. Test recording-level alignment using a participant-clustered model with rater effects; do not treat repeated recordings or ratings as independent.</w:t>
      </w:r>
    </w:p>
    <w:p>
      <w:pPr>
        <w:numPr>
          <w:ilvl w:val="0"/>
          <w:numId w:val="10"/>
        </w:numPr>
        <w:spacing w:after="80" w:line="300" w:lineRule="auto"/>
      </w:pPr>
      <w:r>
        <w:rPr>
          <w:rFonts w:ascii="Calibri" w:hAnsi="Calibri"/>
          <w:color w:val="111111"/>
          <w:sz w:val="21"/>
        </w:rPr>
        <w:t>Primary validation is an omnibus comparison of a base model versus base + the frozen Qadd primary feature vector. Feature-specific standardized effects and 95% confidence intervals are explanatory; control multiplicity across confirmatory features.</w:t>
      </w:r>
    </w:p>
    <w:p>
      <w:pPr>
        <w:numPr>
          <w:ilvl w:val="0"/>
          <w:numId w:val="10"/>
        </w:numPr>
        <w:spacing w:after="80" w:line="300" w:lineRule="auto"/>
      </w:pPr>
      <w:r>
        <w:rPr>
          <w:rFonts w:ascii="Calibri" w:hAnsi="Calibri"/>
          <w:color w:val="111111"/>
          <w:sz w:val="21"/>
        </w:rPr>
        <w:t>For imbalanced human labels, report precision–recall AUC with prevalence baseline, ROC AUC, Brier score, and calibration. All cross-validation splits must be grouped by participant; never oversample before splitting.</w:t>
      </w:r>
    </w:p>
    <w:p>
      <w:pPr>
        <w:numPr>
          <w:ilvl w:val="0"/>
          <w:numId w:val="10"/>
        </w:numPr>
        <w:spacing w:after="80" w:line="300" w:lineRule="auto"/>
      </w:pPr>
      <w:r>
        <w:rPr>
          <w:rFonts w:ascii="Calibri" w:hAnsi="Calibri"/>
          <w:color w:val="111111"/>
          <w:sz w:val="21"/>
        </w:rPr>
        <w:t>Evaluate the 2-RA broad QC criterion separately on the exact same recording intersection. Compare 4-RA and 2-RA alignment using paired participant-clustered resampling, not by comparing which p-value is smaller.</w:t>
      </w:r>
    </w:p>
    <w:p>
      <w:pPr>
        <w:numPr>
          <w:ilvl w:val="0"/>
          <w:numId w:val="10"/>
        </w:numPr>
        <w:spacing w:after="80" w:line="300" w:lineRule="auto"/>
      </w:pPr>
      <w:r>
        <w:rPr>
          <w:rFonts w:ascii="Calibri" w:hAnsi="Calibri"/>
          <w:color w:val="111111"/>
          <w:sz w:val="21"/>
        </w:rPr>
        <w:t>Do not tune feature thresholds, support requirements, or transformations against the same human ratings used for final validation. If tuning is unavoidable, use nested participant-grouped resampling and label it exploratory.</w:t>
      </w:r>
    </w:p>
    <w:p>
      <w:pPr>
        <w:pStyle w:val="Heading1"/>
      </w:pPr>
      <w:r>
        <w:t>7. Role of paired Rest recordings</w:t>
      </w:r>
    </w:p>
    <w:p>
      <w:r>
        <w:t>Rest is valuable as a same-session contextual measurement, not a universal baseline or ground-truth silence. It may contain breathing, movement, vocalization, device AGC adaptation, and a different microphone state. Primary Paper 1 Qadd remains Bamboo because the human perceptual criterion and biomarker use case concern the passage.</w:t>
      </w:r>
    </w:p>
    <w:tbl>
      <w:tblPr>
        <w:tblW w:type="dxa" w:w="9360"/>
        <w:jc w:val="left"/>
        <w:tblLayout w:type="fixed"/>
        <w:tblLook w:firstColumn="1" w:firstRow="1" w:lastColumn="0" w:lastRow="0" w:noHBand="0" w:noVBand="1" w:val="04A0"/>
        <w:tblInd w:w="120" w:type="dxa"/>
      </w:tblPr>
      <w:tblGrid>
        <w:gridCol w:w="2250"/>
        <w:gridCol w:w="3580"/>
        <w:gridCol w:w="3530"/>
      </w:tblGrid>
      <w:tr>
        <w:trPr>
          <w:tblHeader w:val="true"/>
        </w:trPr>
        <w:tc>
          <w:tcPr>
            <w:tcW w:type="dxa" w:w="2250"/>
            <w:tcMar>
              <w:top w:w="90" w:type="dxa"/>
              <w:start w:w="120" w:type="dxa"/>
              <w:bottom w:w="90" w:type="dxa"/>
              <w:end w:w="120" w:type="dxa"/>
            </w:tcMar>
            <w:vAlign w:val="center"/>
            <w:shd w:fill="142B4A"/>
          </w:tcPr>
          <w:p>
            <w:pPr>
              <w:spacing w:before="0" w:after="0" w:line="252" w:lineRule="auto"/>
              <w:jc w:val="left"/>
            </w:pPr>
            <w:r/>
            <w:r>
              <w:rPr>
                <w:rFonts w:ascii="Calibri" w:hAnsi="Calibri"/>
                <w:b/>
                <w:color w:val="FFFFFF"/>
                <w:sz w:val="18"/>
              </w:rPr>
              <w:t>Use</w:t>
            </w:r>
          </w:p>
        </w:tc>
        <w:tc>
          <w:tcPr>
            <w:tcW w:type="dxa" w:w="3580"/>
            <w:tcMar>
              <w:top w:w="90" w:type="dxa"/>
              <w:start w:w="120" w:type="dxa"/>
              <w:bottom w:w="90" w:type="dxa"/>
              <w:end w:w="120" w:type="dxa"/>
            </w:tcMar>
            <w:vAlign w:val="center"/>
            <w:shd w:fill="142B4A"/>
          </w:tcPr>
          <w:p>
            <w:pPr>
              <w:spacing w:before="0" w:after="0" w:line="252" w:lineRule="auto"/>
              <w:jc w:val="left"/>
            </w:pPr>
            <w:r/>
            <w:r>
              <w:rPr>
                <w:rFonts w:ascii="Calibri" w:hAnsi="Calibri"/>
                <w:b/>
                <w:color w:val="FFFFFF"/>
                <w:sz w:val="18"/>
              </w:rPr>
              <w:t>Scientific question</w:t>
            </w:r>
          </w:p>
        </w:tc>
        <w:tc>
          <w:tcPr>
            <w:tcW w:type="dxa" w:w="3530"/>
            <w:tcMar>
              <w:top w:w="90" w:type="dxa"/>
              <w:start w:w="120" w:type="dxa"/>
              <w:bottom w:w="90" w:type="dxa"/>
              <w:end w:w="120" w:type="dxa"/>
            </w:tcMar>
            <w:vAlign w:val="center"/>
            <w:shd w:fill="142B4A"/>
          </w:tcPr>
          <w:p>
            <w:pPr>
              <w:spacing w:before="0" w:after="0" w:line="252" w:lineRule="auto"/>
              <w:jc w:val="left"/>
            </w:pPr>
            <w:r/>
            <w:r>
              <w:rPr>
                <w:rFonts w:ascii="Calibri" w:hAnsi="Calibri"/>
                <w:b/>
                <w:color w:val="FFFFFF"/>
                <w:sz w:val="18"/>
              </w:rPr>
              <w:t>Analysis</w:t>
            </w:r>
          </w:p>
        </w:tc>
      </w:tr>
      <w:tr>
        <w:trPr>
          <w:cantSplit/>
        </w:trPr>
        <w:tc>
          <w:tcPr>
            <w:tcW w:type="dxa" w:w="2250"/>
            <w:shd w:fill="FFFFFF"/>
          </w:tcPr>
          <w:p>
            <w:pPr>
              <w:spacing w:before="0" w:after="0" w:line="252" w:lineRule="auto"/>
              <w:jc w:val="left"/>
            </w:pPr>
            <w:r/>
            <w:r>
              <w:rPr>
                <w:rFonts w:ascii="Calibri" w:hAnsi="Calibri"/>
                <w:b/>
                <w:color w:val="1F4D78"/>
                <w:sz w:val="17"/>
              </w:rPr>
              <w:t>Paired consistency</w:t>
            </w:r>
          </w:p>
        </w:tc>
        <w:tc>
          <w:tcPr>
            <w:tcW w:type="dxa" w:w="3580"/>
            <w:shd w:fill="FFFFFF"/>
          </w:tcPr>
          <w:p>
            <w:pPr>
              <w:spacing w:before="0" w:after="0" w:line="252" w:lineRule="auto"/>
              <w:jc w:val="left"/>
            </w:pPr>
            <w:r/>
            <w:r>
              <w:rPr>
                <w:rFonts w:ascii="Calibri" w:hAnsi="Calibri"/>
                <w:b w:val="0"/>
                <w:color w:val="111111"/>
                <w:sz w:val="17"/>
              </w:rPr>
              <w:t>Does the acoustic environment/device signature persist across Rest and Bamboo?</w:t>
            </w:r>
          </w:p>
        </w:tc>
        <w:tc>
          <w:tcPr>
            <w:tcW w:type="dxa" w:w="3530"/>
            <w:shd w:fill="FFFFFF"/>
          </w:tcPr>
          <w:p>
            <w:pPr>
              <w:spacing w:before="0" w:after="0" w:line="252" w:lineRule="auto"/>
              <w:jc w:val="left"/>
            </w:pPr>
            <w:r/>
            <w:r>
              <w:rPr>
                <w:rFonts w:ascii="Calibri" w:hAnsi="Calibri"/>
                <w:b w:val="0"/>
                <w:color w:val="111111"/>
                <w:sz w:val="17"/>
              </w:rPr>
              <w:t>Participant/session-paired differences and correlation; require verified same session/device proximity.</w:t>
            </w:r>
          </w:p>
        </w:tc>
      </w:tr>
      <w:tr>
        <w:trPr>
          <w:cantSplit/>
        </w:trPr>
        <w:tc>
          <w:tcPr>
            <w:tcW w:type="dxa" w:w="2250"/>
            <w:shd w:fill="F2F4F7"/>
          </w:tcPr>
          <w:p>
            <w:pPr>
              <w:spacing w:before="0" w:after="0" w:line="252" w:lineRule="auto"/>
              <w:jc w:val="left"/>
            </w:pPr>
            <w:r/>
            <w:r>
              <w:rPr>
                <w:rFonts w:ascii="Calibri" w:hAnsi="Calibri"/>
                <w:b/>
                <w:color w:val="1F4D78"/>
                <w:sz w:val="17"/>
              </w:rPr>
              <w:t>Support rescue sensitivity</w:t>
            </w:r>
          </w:p>
        </w:tc>
        <w:tc>
          <w:tcPr>
            <w:tcW w:type="dxa" w:w="3580"/>
            <w:shd w:fill="F2F4F7"/>
          </w:tcPr>
          <w:p>
            <w:pPr>
              <w:spacing w:before="0" w:after="0" w:line="252" w:lineRule="auto"/>
              <w:jc w:val="left"/>
            </w:pPr>
            <w:r/>
            <w:r>
              <w:rPr>
                <w:rFonts w:ascii="Calibri" w:hAnsi="Calibri"/>
                <w:b w:val="0"/>
                <w:color w:val="111111"/>
                <w:sz w:val="17"/>
              </w:rPr>
              <w:t>Can Rest provide a more stable estimate when Bamboo has little internal pause?</w:t>
            </w:r>
          </w:p>
        </w:tc>
        <w:tc>
          <w:tcPr>
            <w:tcW w:type="dxa" w:w="3530"/>
            <w:shd w:fill="F2F4F7"/>
          </w:tcPr>
          <w:p>
            <w:pPr>
              <w:spacing w:before="0" w:after="0" w:line="252" w:lineRule="auto"/>
              <w:jc w:val="left"/>
            </w:pPr>
            <w:r/>
            <w:r>
              <w:rPr>
                <w:rFonts w:ascii="Calibri" w:hAnsi="Calibri"/>
                <w:b w:val="0"/>
                <w:color w:val="111111"/>
                <w:sz w:val="17"/>
              </w:rPr>
              <w:t>Extract low-activity Rest windows after activity screening; never substitute Rest silently for missing Bamboo.</w:t>
            </w:r>
          </w:p>
        </w:tc>
      </w:tr>
      <w:tr>
        <w:trPr>
          <w:cantSplit/>
        </w:trPr>
        <w:tc>
          <w:tcPr>
            <w:tcW w:type="dxa" w:w="2250"/>
            <w:shd w:fill="FFFFFF"/>
          </w:tcPr>
          <w:p>
            <w:pPr>
              <w:spacing w:before="0" w:after="0" w:line="252" w:lineRule="auto"/>
              <w:jc w:val="left"/>
            </w:pPr>
            <w:r/>
            <w:r>
              <w:rPr>
                <w:rFonts w:ascii="Calibri" w:hAnsi="Calibri"/>
                <w:b/>
                <w:color w:val="1F4D78"/>
                <w:sz w:val="17"/>
              </w:rPr>
              <w:t>Confounding diagnostic</w:t>
            </w:r>
          </w:p>
        </w:tc>
        <w:tc>
          <w:tcPr>
            <w:tcW w:type="dxa" w:w="3580"/>
            <w:shd w:fill="FFFFFF"/>
          </w:tcPr>
          <w:p>
            <w:pPr>
              <w:spacing w:before="0" w:after="0" w:line="252" w:lineRule="auto"/>
              <w:jc w:val="left"/>
            </w:pPr>
            <w:r/>
            <w:r>
              <w:rPr>
                <w:rFonts w:ascii="Calibri" w:hAnsi="Calibri"/>
                <w:b w:val="0"/>
                <w:color w:val="111111"/>
                <w:sz w:val="17"/>
              </w:rPr>
              <w:t>Is Qadd driven by speech physiology rather than environment?</w:t>
            </w:r>
          </w:p>
        </w:tc>
        <w:tc>
          <w:tcPr>
            <w:tcW w:type="dxa" w:w="3530"/>
            <w:shd w:fill="FFFFFF"/>
          </w:tcPr>
          <w:p>
            <w:pPr>
              <w:spacing w:before="0" w:after="0" w:line="252" w:lineRule="auto"/>
              <w:jc w:val="left"/>
            </w:pPr>
            <w:r/>
            <w:r>
              <w:rPr>
                <w:rFonts w:ascii="Calibri" w:hAnsi="Calibri"/>
                <w:b w:val="0"/>
                <w:color w:val="111111"/>
                <w:sz w:val="17"/>
              </w:rPr>
              <w:t>A feature that agrees across Rest and Bamboo is more compatible with session context; disagreement is informative, not failure.</w:t>
            </w:r>
          </w:p>
        </w:tc>
      </w:tr>
    </w:tbl>
    <w:p>
      <w:pPr>
        <w:pStyle w:val="Heading1"/>
      </w:pPr>
      <w:r>
        <w:t>8. Decisions frozen before notebook implementation</w:t>
      </w:r>
    </w:p>
    <w:p>
      <w:pPr>
        <w:numPr>
          <w:ilvl w:val="0"/>
          <w:numId w:val="10"/>
        </w:numPr>
        <w:spacing w:after="80" w:line="300" w:lineRule="auto"/>
      </w:pPr>
      <w:r>
        <w:rPr>
          <w:rFonts w:ascii="Calibri" w:hAnsi="Calibri"/>
          <w:color w:val="111111"/>
          <w:sz w:val="21"/>
        </w:rPr>
        <w:t>Use the four-feature primary vector; do not create a Qadd scalar in the first implementation.</w:t>
      </w:r>
    </w:p>
    <w:p>
      <w:pPr>
        <w:numPr>
          <w:ilvl w:val="0"/>
          <w:numId w:val="10"/>
        </w:numPr>
        <w:spacing w:after="80" w:line="300" w:lineRule="auto"/>
      </w:pPr>
      <w:r>
        <w:rPr>
          <w:rFonts w:ascii="Calibri" w:hAnsi="Calibri"/>
          <w:color w:val="111111"/>
          <w:sz w:val="21"/>
        </w:rPr>
        <w:t>Rename snr_proxy to speech_pause_contrast and prohibit SNR language in figures/manuscript.</w:t>
      </w:r>
    </w:p>
    <w:p>
      <w:pPr>
        <w:numPr>
          <w:ilvl w:val="0"/>
          <w:numId w:val="10"/>
        </w:numPr>
        <w:spacing w:after="80" w:line="300" w:lineRule="auto"/>
      </w:pPr>
      <w:r>
        <w:rPr>
          <w:rFonts w:ascii="Calibri" w:hAnsi="Calibri"/>
          <w:color w:val="111111"/>
          <w:sz w:val="21"/>
        </w:rPr>
        <w:t>Add upper-tail excess; demote event rate until its support and threshold stability pass.</w:t>
      </w:r>
    </w:p>
    <w:p>
      <w:pPr>
        <w:numPr>
          <w:ilvl w:val="0"/>
          <w:numId w:val="10"/>
        </w:numPr>
        <w:spacing w:after="80" w:line="300" w:lineRule="auto"/>
      </w:pPr>
      <w:r>
        <w:rPr>
          <w:rFonts w:ascii="Calibri" w:hAnsi="Calibri"/>
          <w:color w:val="111111"/>
          <w:sz w:val="21"/>
        </w:rPr>
        <w:t>Replace raw 50/60 band ratios with an explicit local tone-prominence calculation; store 50/60 winner.</w:t>
      </w:r>
    </w:p>
    <w:p>
      <w:pPr>
        <w:numPr>
          <w:ilvl w:val="0"/>
          <w:numId w:val="10"/>
        </w:numPr>
        <w:spacing w:after="80" w:line="300" w:lineRule="auto"/>
      </w:pPr>
      <w:r>
        <w:rPr>
          <w:rFonts w:ascii="Calibri" w:hAnsi="Calibri"/>
          <w:color w:val="111111"/>
          <w:sz w:val="21"/>
        </w:rPr>
        <w:t>Calculate spectral flatness per pause window over a frozen broad band; use it descriptively only.</w:t>
      </w:r>
    </w:p>
    <w:p>
      <w:pPr>
        <w:numPr>
          <w:ilvl w:val="0"/>
          <w:numId w:val="10"/>
        </w:numPr>
        <w:spacing w:after="80" w:line="300" w:lineRule="auto"/>
      </w:pPr>
      <w:r>
        <w:rPr>
          <w:rFonts w:ascii="Calibri" w:hAnsi="Calibri"/>
          <w:color w:val="111111"/>
          <w:sz w:val="21"/>
        </w:rPr>
        <w:t>Add an optional competing-speech module, but keep it exploratory until manual subset validation passes.</w:t>
      </w:r>
    </w:p>
    <w:p>
      <w:pPr>
        <w:numPr>
          <w:ilvl w:val="0"/>
          <w:numId w:val="10"/>
        </w:numPr>
        <w:spacing w:after="80" w:line="300" w:lineRule="auto"/>
      </w:pPr>
      <w:r>
        <w:rPr>
          <w:rFonts w:ascii="Calibri" w:hAnsi="Calibri"/>
          <w:color w:val="111111"/>
          <w:sz w:val="21"/>
        </w:rPr>
        <w:t>Primary region = strict internal pauses; leading/trailing and Rest are sensitivity/context analyses.</w:t>
      </w:r>
    </w:p>
    <w:p>
      <w:pPr>
        <w:numPr>
          <w:ilvl w:val="0"/>
          <w:numId w:val="10"/>
        </w:numPr>
        <w:spacing w:after="80" w:line="300" w:lineRule="auto"/>
      </w:pPr>
      <w:r>
        <w:rPr>
          <w:rFonts w:ascii="Calibri" w:hAnsi="Calibri"/>
          <w:color w:val="111111"/>
          <w:sz w:val="21"/>
        </w:rPr>
        <w:t>Freeze formulas and control gates in versioned configuration before opening human-QC outcome tables.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vAlign w:val="center"/>
            <w:shd w:fill="EAF4EA"/>
          </w:tcPr>
          <w:p>
            <w:pPr>
              <w:spacing w:after="60"/>
            </w:pPr>
            <w:r>
              <w:rPr>
                <w:rFonts w:ascii="Calibri" w:hAnsi="Calibri"/>
                <w:b/>
                <w:color w:val="142B4A"/>
                <w:sz w:val="22"/>
              </w:rPr>
              <w:t>Implementation gate</w:t>
            </w:r>
          </w:p>
          <w:p>
            <w:pPr>
              <w:spacing w:after="0" w:line="276" w:lineRule="auto"/>
            </w:pPr>
            <w:r>
              <w:rPr>
                <w:rFonts w:ascii="Calibri" w:hAnsi="Calibri"/>
                <w:color w:val="111111"/>
                <w:sz w:val="20"/>
              </w:rPr>
              <w:t>The next notebook should not merely compute columns. It must expose raw waveform/segmentation context, window-level values, support counts, units, expected mathematical ranges, empirical distributions, missingness, perturbation checks, and a recording drill-down. Only after these checks pass should a versioned Qadd feature table be copied into MAIN outputs.</w:t>
            </w:r>
          </w:p>
        </w:tc>
      </w:tr>
    </w:tbl>
    <w:p>
      <w:pPr>
        <w:spacing w:after="0"/>
      </w:pPr>
    </w:p>
    <w:p>
      <w:pPr>
        <w:pStyle w:val="Heading1"/>
      </w:pPr>
      <w:r>
        <w:t>References</w:t>
      </w:r>
    </w:p>
    <w:p>
      <w:pPr>
        <w:spacing w:after="80" w:line="269" w:lineRule="auto"/>
        <w:ind w:left="317" w:hanging="317"/>
      </w:pPr>
      <w:r>
        <w:rPr>
          <w:rFonts w:ascii="Calibri" w:hAnsi="Calibri"/>
          <w:color w:val="111111"/>
          <w:sz w:val="17"/>
        </w:rPr>
        <w:t xml:space="preserve">[1] ITU-T. P.835: Subjective test methodology for evaluating speech communication systems that include noise suppression algorithms. 2003. </w:t>
      </w:r>
      <w:hyperlink r:id="rId11">
        <w:r>
          <w:rPr>
            <w:color w:val="2E74B5"/>
            <w:u w:val="single"/>
          </w:rPr>
          <w:t>Link</w:t>
        </w:r>
      </w:hyperlink>
    </w:p>
    <w:p>
      <w:pPr>
        <w:spacing w:after="80" w:line="269" w:lineRule="auto"/>
        <w:ind w:left="317" w:hanging="317"/>
      </w:pPr>
      <w:r>
        <w:rPr>
          <w:rFonts w:ascii="Calibri" w:hAnsi="Calibri"/>
          <w:color w:val="111111"/>
          <w:sz w:val="17"/>
        </w:rPr>
        <w:t xml:space="preserve">[2] Patel RR, et al. Recommended Protocols for Instrumental Assessment of Voice. Am J Speech Lang Pathol. 2018;27:887–905. doi:10.1044/2018_AJSLP-17-0009. </w:t>
      </w:r>
      <w:hyperlink r:id="rId12">
        <w:r>
          <w:rPr>
            <w:color w:val="2E74B5"/>
            <w:u w:val="single"/>
          </w:rPr>
          <w:t>Link</w:t>
        </w:r>
      </w:hyperlink>
    </w:p>
    <w:p>
      <w:pPr>
        <w:spacing w:after="80" w:line="269" w:lineRule="auto"/>
        <w:ind w:left="317" w:hanging="317"/>
      </w:pPr>
      <w:r>
        <w:rPr>
          <w:rFonts w:ascii="Calibri" w:hAnsi="Calibri"/>
          <w:color w:val="111111"/>
          <w:sz w:val="17"/>
        </w:rPr>
        <w:t xml:space="preserve">[3] ITU-T. P.56: Objective measurement of active speech level. 2011. </w:t>
      </w:r>
      <w:hyperlink r:id="rId13">
        <w:r>
          <w:rPr>
            <w:color w:val="2E74B5"/>
            <w:u w:val="single"/>
          </w:rPr>
          <w:t>Link</w:t>
        </w:r>
      </w:hyperlink>
    </w:p>
    <w:p>
      <w:pPr>
        <w:spacing w:after="80" w:line="269" w:lineRule="auto"/>
        <w:ind w:left="317" w:hanging="317"/>
      </w:pPr>
      <w:r>
        <w:rPr>
          <w:rFonts w:ascii="Calibri" w:hAnsi="Calibri"/>
          <w:color w:val="111111"/>
          <w:sz w:val="17"/>
        </w:rPr>
        <w:t xml:space="preserve">[4] Rusz J, et al. Guidelines for Speech Recording and Acoustic Analyses in Dysarthrias of Movement Disorders. Mov Disord. 2021;36:803–814. doi:10.1002/mds.28465. </w:t>
      </w:r>
      <w:hyperlink r:id="rId14">
        <w:r>
          <w:rPr>
            <w:color w:val="2E74B5"/>
            <w:u w:val="single"/>
          </w:rPr>
          <w:t>Link</w:t>
        </w:r>
      </w:hyperlink>
    </w:p>
    <w:p>
      <w:pPr>
        <w:spacing w:after="80" w:line="269" w:lineRule="auto"/>
        <w:ind w:left="317" w:hanging="317"/>
      </w:pPr>
      <w:r>
        <w:rPr>
          <w:rFonts w:ascii="Calibri" w:hAnsi="Calibri"/>
          <w:color w:val="111111"/>
          <w:sz w:val="17"/>
        </w:rPr>
        <w:t xml:space="preserve">[5] van der Woerd B, et al. Evaluation of Acoustic Analyses of Voice in Nonoptimized Conditions. J Speech Lang Hear Res. 2020;63:3991–3999. doi:10.1044/2020_JSLHR-20-00212. </w:t>
      </w:r>
      <w:hyperlink r:id="rId15">
        <w:r>
          <w:rPr>
            <w:color w:val="2E74B5"/>
            <w:u w:val="single"/>
          </w:rPr>
          <w:t>Link</w:t>
        </w:r>
      </w:hyperlink>
    </w:p>
    <w:p>
      <w:pPr>
        <w:spacing w:after="80" w:line="269" w:lineRule="auto"/>
        <w:ind w:left="317" w:hanging="317"/>
      </w:pPr>
      <w:r>
        <w:rPr>
          <w:rFonts w:ascii="Calibri" w:hAnsi="Calibri"/>
          <w:color w:val="111111"/>
          <w:sz w:val="17"/>
        </w:rPr>
        <w:t xml:space="preserve">[6] Marzinzik M, Kollmeier B. Speech pause detection for noise spectrum estimation by tracking power envelope dynamics. IEEE Trans Speech Audio Process. 2002;10:109–118. doi:10.1109/89.985548. </w:t>
      </w:r>
      <w:hyperlink r:id="rId16">
        <w:r>
          <w:rPr>
            <w:color w:val="2E74B5"/>
            <w:u w:val="single"/>
          </w:rPr>
          <w:t>Link</w:t>
        </w:r>
      </w:hyperlink>
    </w:p>
    <w:p>
      <w:pPr>
        <w:spacing w:after="80" w:line="269" w:lineRule="auto"/>
        <w:ind w:left="317" w:hanging="317"/>
      </w:pPr>
      <w:r>
        <w:rPr>
          <w:rFonts w:ascii="Calibri" w:hAnsi="Calibri"/>
          <w:color w:val="111111"/>
          <w:sz w:val="17"/>
        </w:rPr>
        <w:t xml:space="preserve">[7] Martin R. Noise power spectral density estimation based on optimal smoothing and minimum statistics. IEEE Trans Speech Audio Process. 2001;9:504–512. doi:10.1109/89.928915. </w:t>
      </w:r>
      <w:hyperlink r:id="rId17">
        <w:r>
          <w:rPr>
            <w:color w:val="2E74B5"/>
            <w:u w:val="single"/>
          </w:rPr>
          <w:t>Link</w:t>
        </w:r>
      </w:hyperlink>
    </w:p>
    <w:p>
      <w:pPr>
        <w:spacing w:after="80" w:line="269" w:lineRule="auto"/>
        <w:ind w:left="317" w:hanging="317"/>
      </w:pPr>
      <w:r>
        <w:rPr>
          <w:rFonts w:ascii="Calibri" w:hAnsi="Calibri"/>
          <w:color w:val="111111"/>
          <w:sz w:val="17"/>
        </w:rPr>
        <w:t xml:space="preserve">[8] Welch PD. The use of fast Fourier transform for the estimation of power spectra. IEEE Trans Audio Electroacoust. 1967;15:70–73. doi:10.1109/TAU.1967.1161901. </w:t>
      </w:r>
      <w:hyperlink r:id="rId18">
        <w:r>
          <w:rPr>
            <w:color w:val="2E74B5"/>
            <w:u w:val="single"/>
          </w:rPr>
          <w:t>Link</w:t>
        </w:r>
      </w:hyperlink>
    </w:p>
    <w:p>
      <w:pPr>
        <w:spacing w:after="80" w:line="269" w:lineRule="auto"/>
        <w:ind w:left="317" w:hanging="317"/>
      </w:pPr>
      <w:r>
        <w:rPr>
          <w:rFonts w:ascii="Calibri" w:hAnsi="Calibri"/>
          <w:color w:val="111111"/>
          <w:sz w:val="17"/>
        </w:rPr>
        <w:t xml:space="preserve">[9] Dubnov S. Generalization of spectral flatness measure for non-Gaussian linear processes. IEEE Signal Process Lett. 2004;11:698–701. doi:10.1109/LSP.2004.831663. </w:t>
      </w:r>
      <w:hyperlink r:id="rId19">
        <w:r>
          <w:rPr>
            <w:color w:val="2E74B5"/>
            <w:u w:val="single"/>
          </w:rPr>
          <w:t>Link</w:t>
        </w:r>
      </w:hyperlink>
    </w:p>
    <w:p>
      <w:pPr>
        <w:spacing w:after="80" w:line="269" w:lineRule="auto"/>
        <w:ind w:left="317" w:hanging="317"/>
      </w:pPr>
      <w:r>
        <w:rPr>
          <w:rFonts w:ascii="Calibri" w:hAnsi="Calibri"/>
          <w:color w:val="111111"/>
          <w:sz w:val="17"/>
        </w:rPr>
        <w:t xml:space="preserve">[10] Ecma International. ECMA-418-1: Psychoacoustic metrics for ITT equipment—Prominent discrete tones. 3rd ed. 2024. </w:t>
      </w:r>
      <w:hyperlink r:id="rId20">
        <w:r>
          <w:rPr>
            <w:color w:val="2E74B5"/>
            <w:u w:val="single"/>
          </w:rPr>
          <w:t>Link</w:t>
        </w:r>
      </w:hyperlink>
    </w:p>
    <w:p>
      <w:pPr>
        <w:spacing w:after="80" w:line="269" w:lineRule="auto"/>
        <w:ind w:left="317" w:hanging="317"/>
      </w:pPr>
      <w:r>
        <w:rPr>
          <w:rFonts w:ascii="Calibri" w:hAnsi="Calibri"/>
          <w:color w:val="111111"/>
          <w:sz w:val="17"/>
        </w:rPr>
        <w:t xml:space="preserve">[11] Kim C, Stern RM. Robust signal-to-noise ratio estimation based on waveform amplitude distribution analysis. Interspeech 2008:2598–2601. doi:10.21437/Interspeech.2008-644. </w:t>
      </w:r>
      <w:hyperlink r:id="rId21">
        <w:r>
          <w:rPr>
            <w:color w:val="2E74B5"/>
            <w:u w:val="single"/>
          </w:rPr>
          <w:t>Link</w:t>
        </w:r>
      </w:hyperlink>
    </w:p>
    <w:p>
      <w:pPr>
        <w:spacing w:after="80" w:line="269" w:lineRule="auto"/>
        <w:ind w:left="317" w:hanging="317"/>
      </w:pPr>
      <w:r>
        <w:rPr>
          <w:rFonts w:ascii="Calibri" w:hAnsi="Calibri"/>
          <w:color w:val="111111"/>
          <w:sz w:val="17"/>
        </w:rPr>
        <w:t xml:space="preserve">[12] Cornell S, et al. Detecting and Counting Overlapping Speakers in Distant Speech Scenarios. Interspeech 2020:3107–3111. doi:10.21437/Interspeech.2020-2671. </w:t>
      </w:r>
      <w:hyperlink r:id="rId22">
        <w:r>
          <w:rPr>
            <w:color w:val="2E74B5"/>
            <w:u w:val="single"/>
          </w:rPr>
          <w:t>Link</w:t>
        </w:r>
      </w:hyperlink>
    </w:p>
    <w:p>
      <w:pPr>
        <w:spacing w:after="80" w:line="269" w:lineRule="auto"/>
        <w:ind w:left="317" w:hanging="317"/>
      </w:pPr>
      <w:r>
        <w:rPr>
          <w:rFonts w:ascii="Calibri" w:hAnsi="Calibri"/>
          <w:color w:val="111111"/>
          <w:sz w:val="17"/>
        </w:rPr>
        <w:t xml:space="preserve">[13] Connaghan KP, et al. A Preliminary Investigation of Acoustic Features for Remote Monitoring of Respiration in ALS. Muscle Nerve. 2025;72:321–326. doi:10.1002/mus.28435. </w:t>
      </w:r>
      <w:hyperlink r:id="rId23">
        <w:r>
          <w:rPr>
            <w:color w:val="2E74B5"/>
            <w:u w:val="single"/>
          </w:rPr>
          <w:t>Link</w:t>
        </w:r>
      </w:hyperlink>
    </w:p>
    <w:p>
      <w:pPr>
        <w:spacing w:after="80" w:line="269" w:lineRule="auto"/>
        <w:ind w:left="317" w:hanging="317"/>
      </w:pPr>
      <w:r>
        <w:rPr>
          <w:rFonts w:ascii="Calibri" w:hAnsi="Calibri"/>
          <w:color w:val="111111"/>
          <w:sz w:val="17"/>
        </w:rPr>
        <w:t xml:space="preserve">[14] Gwet KL. Computing inter-rater reliability and its variance in the presence of high agreement. Br J Math Stat Psychol. 2008;61:29–48. doi:10.1348/000711006X126600. </w:t>
      </w:r>
      <w:hyperlink r:id="rId24">
        <w:r>
          <w:rPr>
            <w:color w:val="2E74B5"/>
            <w:u w:val="single"/>
          </w:rPr>
          <w:t>Link</w:t>
        </w:r>
      </w:hyperlink>
    </w:p>
    <w:p>
      <w:pPr>
        <w:spacing w:after="80" w:line="269" w:lineRule="auto"/>
        <w:ind w:left="317" w:hanging="317"/>
      </w:pPr>
      <w:r>
        <w:rPr>
          <w:rFonts w:ascii="Calibri" w:hAnsi="Calibri"/>
          <w:color w:val="111111"/>
          <w:sz w:val="17"/>
        </w:rPr>
        <w:t xml:space="preserve">[15] ISO. ISO/PAS 1996-3:2022: Objective method for measurement of prominence of impulsive sounds. </w:t>
      </w:r>
      <w:hyperlink r:id="rId25">
        <w:r>
          <w:rPr>
            <w:color w:val="2E74B5"/>
            <w:u w:val="single"/>
          </w:rPr>
          <w:t>Link</w:t>
        </w:r>
      </w:hyperlink>
    </w:p>
    <w:p>
      <w:pPr>
        <w:spacing w:after="80" w:line="269" w:lineRule="auto"/>
        <w:ind w:left="317" w:hanging="317"/>
      </w:pPr>
      <w:r>
        <w:rPr>
          <w:rFonts w:ascii="Calibri" w:hAnsi="Calibri"/>
          <w:color w:val="111111"/>
          <w:sz w:val="17"/>
        </w:rPr>
        <w:t xml:space="preserve">[16] Audio Engineering Society. Pro Audio Reference: 0 dBFS definition. </w:t>
      </w:r>
      <w:hyperlink r:id="rId26">
        <w:r>
          <w:rPr>
            <w:color w:val="2E74B5"/>
            <w:u w:val="single"/>
          </w:rPr>
          <w:t>Link</w:t>
        </w:r>
      </w:hyperlink>
    </w:p>
    <w:p>
      <w:pPr>
        <w:spacing w:after="80" w:line="269" w:lineRule="auto"/>
        <w:ind w:left="317" w:hanging="317"/>
      </w:pPr>
      <w:r>
        <w:rPr>
          <w:rFonts w:ascii="Calibri" w:hAnsi="Calibri"/>
          <w:color w:val="111111"/>
          <w:sz w:val="17"/>
        </w:rPr>
        <w:t xml:space="preserve">[17] Weerathunge HR, et al. Accuracy of Acoustic Measures of Voice via Telepractice Videoconferencing Platforms. J Speech Lang Hear Res. 2021. doi:10.1044/2021_JSLHR-20-00625. </w:t>
      </w:r>
      <w:hyperlink r:id="rId27">
        <w:r>
          <w:rPr>
            <w:color w:val="2E74B5"/>
            <w:u w:val="single"/>
          </w:rPr>
          <w:t>Link</w:t>
        </w:r>
      </w:hyperlink>
    </w:p>
    <w:p>
      <w:pPr>
        <w:spacing w:after="80" w:line="269" w:lineRule="auto"/>
        <w:ind w:left="317" w:hanging="317"/>
      </w:pPr>
      <w:r>
        <w:rPr>
          <w:rFonts w:ascii="Calibri" w:hAnsi="Calibri"/>
          <w:color w:val="111111"/>
          <w:sz w:val="17"/>
        </w:rPr>
        <w:t xml:space="preserve">[18] Richter V, et al. Remote Assessment for ALS using Multimodal Dialog Agents: Data Quality, Feasibility and Task Compliance. Interspeech 2023:5441–5445. doi:10.21437/Interspeech.2023-2115. </w:t>
      </w:r>
      <w:hyperlink r:id="rId28">
        <w:r>
          <w:rPr>
            <w:color w:val="2E74B5"/>
            <w:u w:val="single"/>
          </w:rPr>
          <w:t>Link</w:t>
        </w:r>
      </w:hyperlink>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6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66573"/>
        <w:sz w:val="17"/>
      </w:rPr>
      <w:t>PAPER 1  /  QADD MEASUREMENT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42B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6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tu.int/rec/T-REC-P.835/en" TargetMode="External"/><Relationship Id="rId12" Type="http://schemas.openxmlformats.org/officeDocument/2006/relationships/hyperlink" Target="https://doi.org/10.1044/2018_AJSLP-17-0009" TargetMode="External"/><Relationship Id="rId13" Type="http://schemas.openxmlformats.org/officeDocument/2006/relationships/hyperlink" Target="https://www.itu.int/rec/T-REC-P.56-201112-I/en" TargetMode="External"/><Relationship Id="rId14" Type="http://schemas.openxmlformats.org/officeDocument/2006/relationships/hyperlink" Target="https://doi.org/10.1002/mds.28465" TargetMode="External"/><Relationship Id="rId15" Type="http://schemas.openxmlformats.org/officeDocument/2006/relationships/hyperlink" Target="https://doi.org/10.1044/2020_JSLHR-20-00212" TargetMode="External"/><Relationship Id="rId16" Type="http://schemas.openxmlformats.org/officeDocument/2006/relationships/hyperlink" Target="https://doi.org/10.1109/89.985548" TargetMode="External"/><Relationship Id="rId17" Type="http://schemas.openxmlformats.org/officeDocument/2006/relationships/hyperlink" Target="https://doi.org/10.1109/89.928915" TargetMode="External"/><Relationship Id="rId18" Type="http://schemas.openxmlformats.org/officeDocument/2006/relationships/hyperlink" Target="https://doi.org/10.1109/TAU.1967.1161901" TargetMode="External"/><Relationship Id="rId19" Type="http://schemas.openxmlformats.org/officeDocument/2006/relationships/hyperlink" Target="https://doi.org/10.1109/LSP.2004.831663" TargetMode="External"/><Relationship Id="rId20" Type="http://schemas.openxmlformats.org/officeDocument/2006/relationships/hyperlink" Target="https://ecma-international.org/publications-and-standards/standards/ecma-418/" TargetMode="External"/><Relationship Id="rId21" Type="http://schemas.openxmlformats.org/officeDocument/2006/relationships/hyperlink" Target="https://www.isca-archive.org/interspeech_2008/kim08e_interspeech.html" TargetMode="External"/><Relationship Id="rId22" Type="http://schemas.openxmlformats.org/officeDocument/2006/relationships/hyperlink" Target="https://www.isca-archive.org/interspeech_2020/cornell20_interspeech.html" TargetMode="External"/><Relationship Id="rId23" Type="http://schemas.openxmlformats.org/officeDocument/2006/relationships/hyperlink" Target="https://doi.org/10.1002/mus.28435" TargetMode="External"/><Relationship Id="rId24" Type="http://schemas.openxmlformats.org/officeDocument/2006/relationships/hyperlink" Target="https://doi.org/10.1348/000711006X126600" TargetMode="External"/><Relationship Id="rId25" Type="http://schemas.openxmlformats.org/officeDocument/2006/relationships/hyperlink" Target="https://www.iso.org/standard/77035.html" TargetMode="External"/><Relationship Id="rId26" Type="http://schemas.openxmlformats.org/officeDocument/2006/relationships/hyperlink" Target="https://aes.org/publications/par/d/" TargetMode="External"/><Relationship Id="rId27" Type="http://schemas.openxmlformats.org/officeDocument/2006/relationships/hyperlink" Target="https://doi.org/10.1044/2021_JSLHR-20-00625" TargetMode="External"/><Relationship Id="rId28" Type="http://schemas.openxmlformats.org/officeDocument/2006/relationships/hyperlink" Target="https://www.isca-archive.org/interspeech_2023/richter23_interspee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Qadd Additive Interference Scientific Measurement Specification v2</dc:title>
  <dc:subject>Paper 1 remote ALS speech biomarker quality control</dc:subject>
  <dc:creator>OpenAI Codex in collaboration with Nevena Musikic</dc:creator>
  <cp:keywords>ALS; remote speech; additive interference; acoustic quality control; Qadd</cp:keywords>
  <dc:description>generated by python-docx</dc:description>
  <cp:lastModifiedBy/>
  <cp:revision>1</cp:revision>
  <dcterms:created xsi:type="dcterms:W3CDTF">2013-12-23T23:15:00Z</dcterms:created>
  <dcterms:modified xsi:type="dcterms:W3CDTF">2013-12-23T23:15:00Z</dcterms:modified>
  <cp:category/>
</cp:coreProperties>
</file>